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2B" w:rsidRPr="00AB662B" w:rsidRDefault="00AB662B" w:rsidP="00AB662B">
      <w:pPr>
        <w:spacing w:after="120" w:line="312" w:lineRule="auto"/>
        <w:jc w:val="center"/>
        <w:rPr>
          <w:rFonts w:ascii="Times New Roman" w:eastAsia="Times New Roman" w:hAnsi="Times New Roman" w:cs="Times New Roman"/>
          <w:b/>
          <w:sz w:val="28"/>
          <w:szCs w:val="28"/>
          <w:lang w:eastAsia="tr-TR"/>
        </w:rPr>
      </w:pPr>
      <w:proofErr w:type="gramStart"/>
      <w:r w:rsidRPr="00AB662B">
        <w:rPr>
          <w:rFonts w:ascii="Times New Roman" w:eastAsia="Times New Roman" w:hAnsi="Times New Roman" w:cs="Times New Roman"/>
          <w:b/>
          <w:sz w:val="28"/>
          <w:szCs w:val="28"/>
          <w:lang w:eastAsia="tr-TR"/>
        </w:rPr>
        <w:t>S  U</w:t>
      </w:r>
      <w:proofErr w:type="gramEnd"/>
      <w:r w:rsidRPr="00AB662B">
        <w:rPr>
          <w:rFonts w:ascii="Times New Roman" w:eastAsia="Times New Roman" w:hAnsi="Times New Roman" w:cs="Times New Roman"/>
          <w:b/>
          <w:sz w:val="28"/>
          <w:szCs w:val="28"/>
          <w:lang w:eastAsia="tr-TR"/>
        </w:rPr>
        <w:t xml:space="preserve">  N  U  Ş</w:t>
      </w:r>
    </w:p>
    <w:p w:rsidR="00AB662B" w:rsidRPr="00AB662B" w:rsidRDefault="00AB662B" w:rsidP="00AB662B">
      <w:pPr>
        <w:spacing w:after="120" w:line="312" w:lineRule="auto"/>
        <w:ind w:firstLine="902"/>
        <w:jc w:val="center"/>
        <w:rPr>
          <w:rFonts w:ascii="Times New Roman" w:eastAsia="Times New Roman" w:hAnsi="Times New Roman" w:cs="Times New Roman"/>
          <w:b/>
          <w:color w:val="FF0000"/>
          <w:sz w:val="28"/>
          <w:szCs w:val="28"/>
          <w:lang w:eastAsia="tr-TR"/>
        </w:rPr>
      </w:pPr>
    </w:p>
    <w:p w:rsidR="00AB662B" w:rsidRPr="00AB662B" w:rsidRDefault="00AB662B" w:rsidP="00AB662B">
      <w:pPr>
        <w:spacing w:after="120" w:line="312" w:lineRule="auto"/>
        <w:ind w:firstLine="902"/>
        <w:jc w:val="both"/>
        <w:rPr>
          <w:rFonts w:ascii="Times New Roman" w:eastAsia="Times New Roman" w:hAnsi="Times New Roman" w:cs="Times New Roman"/>
          <w:sz w:val="24"/>
          <w:szCs w:val="24"/>
          <w:lang w:eastAsia="tr-TR"/>
        </w:rPr>
      </w:pPr>
      <w:proofErr w:type="gramStart"/>
      <w:r w:rsidRPr="00AB662B">
        <w:rPr>
          <w:rFonts w:ascii="Times New Roman" w:eastAsia="Times New Roman" w:hAnsi="Times New Roman" w:cs="Times New Roman"/>
          <w:sz w:val="24"/>
          <w:szCs w:val="24"/>
          <w:lang w:eastAsia="tr-TR"/>
        </w:rPr>
        <w:t xml:space="preserve">5018 sayılı Kamu Mali Yönetimi ve Kontrol Kanununun 30. maddesinin son fıkrasında anılan </w:t>
      </w:r>
      <w:r w:rsidRPr="00AB662B">
        <w:rPr>
          <w:rFonts w:ascii="Times New Roman" w:eastAsia="Times New Roman" w:hAnsi="Times New Roman" w:cs="Times New Roman"/>
          <w:i/>
          <w:sz w:val="24"/>
          <w:szCs w:val="24"/>
          <w:lang w:eastAsia="tr-TR"/>
        </w:rPr>
        <w:t xml:space="preserve">“Genel yönetim kapsamındaki idareler bütçelerinin ilk altı aylık uygulama sonuçları, ikinci altı aya ilişkin beklentiler ve hedefler ile faaliyetlerini; Maliye Bakanlığı ise merkezi yönetim bütçe kanununun ilk altı aylık uygulama sonuçları, finansman durumu, ikinci altı aya ilişkin beklentiler ve hedefler ile faaliyetleri kapsayan mali durumu temmuz ayı içinde kamuoyuna açıklar.” </w:t>
      </w:r>
      <w:r w:rsidRPr="00AB662B">
        <w:rPr>
          <w:rFonts w:ascii="Times New Roman" w:eastAsia="Times New Roman" w:hAnsi="Times New Roman" w:cs="Times New Roman"/>
          <w:sz w:val="24"/>
          <w:szCs w:val="24"/>
          <w:lang w:eastAsia="tr-TR"/>
        </w:rPr>
        <w:t>hükmü</w:t>
      </w:r>
      <w:r w:rsidRPr="00AB662B">
        <w:rPr>
          <w:rFonts w:ascii="Times New Roman" w:eastAsia="Times New Roman" w:hAnsi="Times New Roman" w:cs="Times New Roman"/>
          <w:i/>
          <w:sz w:val="24"/>
          <w:szCs w:val="24"/>
          <w:lang w:eastAsia="tr-TR"/>
        </w:rPr>
        <w:t xml:space="preserve"> </w:t>
      </w:r>
      <w:r w:rsidRPr="00AB662B">
        <w:rPr>
          <w:rFonts w:ascii="Times New Roman" w:eastAsia="Times New Roman" w:hAnsi="Times New Roman" w:cs="Times New Roman"/>
          <w:sz w:val="24"/>
          <w:szCs w:val="24"/>
          <w:lang w:eastAsia="tr-TR"/>
        </w:rPr>
        <w:t>gereği, Belediyemizin 2018 yılı ilk altı aylık bütçe uygulama sonuçları ile ikinci altı aya ilişkin beklentilerimiz ve hedeflerimiz doğrultusunda yürütülen faaliyetlerimize ilişkin rapor kamuoyuna açıklanmak üzere hazırlanmıştır.</w:t>
      </w:r>
      <w:proofErr w:type="gramEnd"/>
    </w:p>
    <w:p w:rsidR="00AB662B" w:rsidRPr="00AB662B" w:rsidRDefault="00AB662B" w:rsidP="00AB662B">
      <w:pPr>
        <w:spacing w:after="120" w:line="312" w:lineRule="auto"/>
        <w:ind w:firstLine="902"/>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Belediyemizin 2018 mali yılı bütçe tahminleri ile ilk altı ayın sonunda gerçekleşen gelir-gider verileri analiz edilerek, geçmiş yıllarla karşılaştırılmıştır. Geçmiş yıllarla karşılaştırılan cari yıl verilerinden edinilen sonuçlar gelecek dönem tahminlerimize ışık tutmuştur. Cari dönem bütçe gerçekleşmelerinde kaydedilen isabet, geçmiş yıllarda elde edilen verilerin titizlikle analiz edilmesi neticesinde alınan tedbirlerle mümkün olmuştur. Bu çerçevede hizmet sektörünün en etkin aktörü olan Belediyemiz, sonsuz insan ihtiyaçlarını karşılamak ve vatandaş memnuniyetini en üst düzeyde tutmak için kısıtlı mali kaynakları etkin ve verimli bir şekilde kullanma sanatını icra etmektedir. </w:t>
      </w:r>
      <w:proofErr w:type="gramStart"/>
      <w:r w:rsidRPr="00AB662B">
        <w:rPr>
          <w:rFonts w:ascii="Times New Roman" w:eastAsia="Times New Roman" w:hAnsi="Times New Roman" w:cs="Times New Roman"/>
          <w:sz w:val="24"/>
          <w:szCs w:val="24"/>
          <w:lang w:eastAsia="tr-TR"/>
        </w:rPr>
        <w:t>Bu anlamda 2018 yılı ilk altı aylık uygulama sonuçları “</w:t>
      </w:r>
      <w:r w:rsidRPr="00AB662B">
        <w:rPr>
          <w:rFonts w:ascii="Times New Roman" w:eastAsia="Times New Roman" w:hAnsi="Times New Roman" w:cs="Times New Roman"/>
          <w:i/>
          <w:sz w:val="24"/>
          <w:szCs w:val="24"/>
          <w:lang w:eastAsia="tr-TR"/>
        </w:rPr>
        <w:t>kamu kaynaklarının etkili, ekonomik ve verimli bir şekilde elde edilmesi ve kullanılması</w:t>
      </w:r>
      <w:r w:rsidRPr="00AB662B">
        <w:rPr>
          <w:rFonts w:ascii="Times New Roman" w:eastAsia="Times New Roman" w:hAnsi="Times New Roman" w:cs="Times New Roman"/>
          <w:sz w:val="24"/>
          <w:szCs w:val="24"/>
          <w:lang w:eastAsia="tr-TR"/>
        </w:rPr>
        <w:t>”, “</w:t>
      </w:r>
      <w:r w:rsidRPr="00AB662B">
        <w:rPr>
          <w:rFonts w:ascii="Times New Roman" w:eastAsia="Times New Roman" w:hAnsi="Times New Roman" w:cs="Times New Roman"/>
          <w:i/>
          <w:sz w:val="24"/>
          <w:szCs w:val="24"/>
          <w:lang w:eastAsia="tr-TR"/>
        </w:rPr>
        <w:t>hesap verilebilirlik</w:t>
      </w:r>
      <w:r w:rsidRPr="00AB662B">
        <w:rPr>
          <w:rFonts w:ascii="Times New Roman" w:eastAsia="Times New Roman" w:hAnsi="Times New Roman" w:cs="Times New Roman"/>
          <w:sz w:val="24"/>
          <w:szCs w:val="24"/>
          <w:lang w:eastAsia="tr-TR"/>
        </w:rPr>
        <w:t>” ve “</w:t>
      </w:r>
      <w:r w:rsidRPr="00AB662B">
        <w:rPr>
          <w:rFonts w:ascii="Times New Roman" w:eastAsia="Times New Roman" w:hAnsi="Times New Roman" w:cs="Times New Roman"/>
          <w:i/>
          <w:sz w:val="24"/>
          <w:szCs w:val="24"/>
          <w:lang w:eastAsia="tr-TR"/>
        </w:rPr>
        <w:t>mali saydamlık</w:t>
      </w:r>
      <w:r w:rsidRPr="00AB662B">
        <w:rPr>
          <w:rFonts w:ascii="Times New Roman" w:eastAsia="Times New Roman" w:hAnsi="Times New Roman" w:cs="Times New Roman"/>
          <w:sz w:val="24"/>
          <w:szCs w:val="24"/>
          <w:lang w:eastAsia="tr-TR"/>
        </w:rPr>
        <w:t xml:space="preserve">” ilkelerini benimsenerek açık ve anlaşılabilir bir şekilde raporlanmış, 2018 Mali yılı Birinci altı aylık dönem olan </w:t>
      </w:r>
      <w:r w:rsidRPr="00AB662B">
        <w:rPr>
          <w:rFonts w:ascii="Times New Roman" w:eastAsia="Times New Roman" w:hAnsi="Times New Roman" w:cs="Times New Roman"/>
          <w:i/>
          <w:sz w:val="24"/>
          <w:szCs w:val="24"/>
          <w:lang w:eastAsia="tr-TR"/>
        </w:rPr>
        <w:t>Ocak ve Haziran</w:t>
      </w:r>
      <w:r w:rsidRPr="00AB662B">
        <w:rPr>
          <w:rFonts w:ascii="Times New Roman" w:eastAsia="Times New Roman" w:hAnsi="Times New Roman" w:cs="Times New Roman"/>
          <w:sz w:val="24"/>
          <w:szCs w:val="24"/>
          <w:lang w:eastAsia="tr-TR"/>
        </w:rPr>
        <w:t xml:space="preserve"> ayları arasındaki Bütçe Gerçekleşmeleri ile İkinci altı aylık dönem olan </w:t>
      </w:r>
      <w:r w:rsidRPr="00AB662B">
        <w:rPr>
          <w:rFonts w:ascii="Times New Roman" w:eastAsia="Times New Roman" w:hAnsi="Times New Roman" w:cs="Times New Roman"/>
          <w:i/>
          <w:sz w:val="24"/>
          <w:szCs w:val="24"/>
          <w:lang w:eastAsia="tr-TR"/>
        </w:rPr>
        <w:t>Temmuz ve Aralık</w:t>
      </w:r>
      <w:r w:rsidRPr="00AB662B">
        <w:rPr>
          <w:rFonts w:ascii="Times New Roman" w:eastAsia="Times New Roman" w:hAnsi="Times New Roman" w:cs="Times New Roman"/>
          <w:sz w:val="24"/>
          <w:szCs w:val="24"/>
          <w:lang w:eastAsia="tr-TR"/>
        </w:rPr>
        <w:t xml:space="preserve"> ayları arasındaki hedefler ile beklentilerimizin yer aldığı “2018 Yılı Sultanbeyli Belediyesi Bütçe gerçekleşmeleri ve Beklentiler Raporu” hazırlanarak, 5018 sayılı Kamu Mali Yönetimi ve Kontrol Kanununun bize yüklemiş olduğu sorumlulukları, Misyonumuz, Vizyonumuz çerçevesinde, </w:t>
      </w:r>
      <w:r w:rsidRPr="00AB662B">
        <w:rPr>
          <w:rFonts w:ascii="Times New Roman" w:eastAsia="Times New Roman" w:hAnsi="Times New Roman" w:cs="Times New Roman"/>
          <w:i/>
          <w:sz w:val="24"/>
          <w:szCs w:val="24"/>
          <w:lang w:eastAsia="tr-TR"/>
        </w:rPr>
        <w:t xml:space="preserve">“Şeffaflık ve hesap verilebilirlik esastır” </w:t>
      </w:r>
      <w:r w:rsidRPr="00AB662B">
        <w:rPr>
          <w:rFonts w:ascii="Times New Roman" w:eastAsia="Times New Roman" w:hAnsi="Times New Roman" w:cs="Times New Roman"/>
          <w:sz w:val="24"/>
          <w:szCs w:val="24"/>
          <w:lang w:eastAsia="tr-TR"/>
        </w:rPr>
        <w:t>Temel İlkemizin gereği olarak, 2018 yılının ilk altı aylık bütçe gerçekleşmelerine ilişkin veriler ile ikinci altı aya ilişkin beklentilerimiz bütün detayları ile açıklanmıştır.</w:t>
      </w:r>
      <w:proofErr w:type="gramEnd"/>
    </w:p>
    <w:p w:rsidR="00AB662B" w:rsidRPr="00AB662B" w:rsidRDefault="00AB662B" w:rsidP="00AB662B">
      <w:pPr>
        <w:autoSpaceDE w:val="0"/>
        <w:autoSpaceDN w:val="0"/>
        <w:adjustRightInd w:val="0"/>
        <w:spacing w:after="120" w:line="312" w:lineRule="auto"/>
        <w:ind w:firstLine="708"/>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 xml:space="preserve">     Kamuoyunun bilgilerine sunulur. </w:t>
      </w:r>
    </w:p>
    <w:p w:rsidR="00AB662B" w:rsidRPr="00AB662B" w:rsidRDefault="00AB662B" w:rsidP="00AB662B">
      <w:pPr>
        <w:autoSpaceDE w:val="0"/>
        <w:autoSpaceDN w:val="0"/>
        <w:adjustRightInd w:val="0"/>
        <w:spacing w:after="0" w:line="312" w:lineRule="auto"/>
        <w:ind w:left="6373"/>
        <w:jc w:val="center"/>
        <w:rPr>
          <w:rFonts w:ascii="Times New Roman" w:eastAsia="Arial" w:hAnsi="Times New Roman" w:cs="Times New Roman"/>
          <w:b/>
          <w:color w:val="FF0000"/>
          <w:sz w:val="24"/>
          <w:szCs w:val="24"/>
        </w:rPr>
      </w:pPr>
    </w:p>
    <w:p w:rsidR="00AB662B" w:rsidRPr="00AB662B" w:rsidRDefault="00AB662B" w:rsidP="00AB662B">
      <w:pPr>
        <w:autoSpaceDE w:val="0"/>
        <w:autoSpaceDN w:val="0"/>
        <w:adjustRightInd w:val="0"/>
        <w:spacing w:after="0" w:line="312" w:lineRule="auto"/>
        <w:ind w:left="6373"/>
        <w:jc w:val="center"/>
        <w:rPr>
          <w:rFonts w:ascii="Times New Roman" w:eastAsia="Arial" w:hAnsi="Times New Roman" w:cs="Times New Roman"/>
          <w:b/>
          <w:color w:val="FF0000"/>
          <w:sz w:val="24"/>
          <w:szCs w:val="24"/>
        </w:rPr>
      </w:pPr>
    </w:p>
    <w:p w:rsidR="00AB662B" w:rsidRPr="00AB662B" w:rsidRDefault="00AB662B" w:rsidP="00AB662B">
      <w:pPr>
        <w:autoSpaceDE w:val="0"/>
        <w:autoSpaceDN w:val="0"/>
        <w:adjustRightInd w:val="0"/>
        <w:spacing w:after="0" w:line="312" w:lineRule="auto"/>
        <w:ind w:left="6373"/>
        <w:jc w:val="center"/>
        <w:rPr>
          <w:rFonts w:ascii="Times New Roman" w:eastAsia="Arial" w:hAnsi="Times New Roman" w:cs="Times New Roman"/>
          <w:b/>
          <w:sz w:val="24"/>
          <w:szCs w:val="24"/>
        </w:rPr>
      </w:pPr>
      <w:r w:rsidRPr="00AB662B">
        <w:rPr>
          <w:rFonts w:ascii="Times New Roman" w:eastAsia="Arial" w:hAnsi="Times New Roman" w:cs="Times New Roman"/>
          <w:b/>
          <w:sz w:val="24"/>
          <w:szCs w:val="24"/>
        </w:rPr>
        <w:t>Hüseyin KESKİN</w:t>
      </w:r>
    </w:p>
    <w:p w:rsidR="00AB662B" w:rsidRPr="00AB662B" w:rsidRDefault="00AB662B" w:rsidP="00AB662B">
      <w:pPr>
        <w:autoSpaceDE w:val="0"/>
        <w:autoSpaceDN w:val="0"/>
        <w:adjustRightInd w:val="0"/>
        <w:spacing w:after="0" w:line="312" w:lineRule="auto"/>
        <w:ind w:left="6373"/>
        <w:jc w:val="center"/>
        <w:rPr>
          <w:rFonts w:ascii="Times New Roman" w:eastAsia="Arial" w:hAnsi="Times New Roman" w:cs="Times New Roman"/>
          <w:b/>
          <w:sz w:val="24"/>
          <w:szCs w:val="24"/>
        </w:rPr>
      </w:pPr>
      <w:r w:rsidRPr="00AB662B">
        <w:rPr>
          <w:rFonts w:ascii="Times New Roman" w:eastAsia="Arial" w:hAnsi="Times New Roman" w:cs="Times New Roman"/>
          <w:b/>
          <w:sz w:val="24"/>
          <w:szCs w:val="24"/>
        </w:rPr>
        <w:t>Sultanbeyli Belediye Başkanı</w:t>
      </w:r>
    </w:p>
    <w:p w:rsidR="00AB662B" w:rsidRPr="00AB662B" w:rsidRDefault="00AB662B" w:rsidP="00AB662B">
      <w:pPr>
        <w:spacing w:after="120" w:line="312" w:lineRule="auto"/>
        <w:jc w:val="both"/>
        <w:rPr>
          <w:rFonts w:ascii="Times New Roman" w:eastAsia="Times New Roman" w:hAnsi="Times New Roman" w:cs="Times New Roman"/>
          <w:b/>
          <w:bCs/>
          <w:color w:val="FF0000"/>
          <w:sz w:val="28"/>
          <w:szCs w:val="28"/>
          <w:highlight w:val="lightGray"/>
          <w:lang w:eastAsia="tr-TR"/>
        </w:rPr>
        <w:sectPr w:rsidR="00AB662B" w:rsidRPr="00AB662B" w:rsidSect="00AB662B">
          <w:footerReference w:type="even" r:id="rId9"/>
          <w:footerReference w:type="default" r:id="rId10"/>
          <w:footerReference w:type="first" r:id="rId11"/>
          <w:pgSz w:w="11906" w:h="16838"/>
          <w:pgMar w:top="1985" w:right="748" w:bottom="1418" w:left="1077" w:header="709" w:footer="709" w:gutter="0"/>
          <w:pgBorders w:offsetFrom="page">
            <w:top w:val="single" w:sz="6" w:space="24" w:color="FFFFFF"/>
            <w:left w:val="single" w:sz="6" w:space="24" w:color="FFFFFF"/>
            <w:bottom w:val="single" w:sz="6" w:space="24" w:color="FFFFFF"/>
            <w:right w:val="single" w:sz="6" w:space="24" w:color="FFFFFF"/>
          </w:pgBorders>
          <w:pgNumType w:start="1"/>
          <w:cols w:space="708"/>
          <w:docGrid w:linePitch="360"/>
        </w:sectPr>
      </w:pPr>
    </w:p>
    <w:p w:rsidR="00AB662B" w:rsidRPr="00AB662B" w:rsidRDefault="00AB662B" w:rsidP="00AB662B">
      <w:pPr>
        <w:spacing w:after="0" w:line="360" w:lineRule="auto"/>
        <w:jc w:val="center"/>
        <w:rPr>
          <w:rFonts w:ascii="Times New Roman" w:eastAsia="Times New Roman" w:hAnsi="Times New Roman" w:cs="Times New Roman"/>
          <w:sz w:val="28"/>
          <w:szCs w:val="28"/>
          <w:lang w:eastAsia="tr-TR"/>
        </w:rPr>
      </w:pPr>
      <w:r w:rsidRPr="00AB662B">
        <w:rPr>
          <w:rFonts w:ascii="Times New Roman" w:eastAsia="Times New Roman" w:hAnsi="Times New Roman" w:cs="Times New Roman"/>
          <w:b/>
          <w:bCs/>
          <w:sz w:val="28"/>
          <w:szCs w:val="28"/>
          <w:highlight w:val="lightGray"/>
          <w:lang w:eastAsia="tr-TR"/>
        </w:rPr>
        <w:lastRenderedPageBreak/>
        <w:t>I. OCAK-HAZİRAN 2018 DÖNEMİ BÜTÇE UYGULAMA SONUÇLARI</w:t>
      </w:r>
    </w:p>
    <w:p w:rsidR="00AB662B" w:rsidRPr="00AB662B" w:rsidRDefault="00AB662B" w:rsidP="00AB662B">
      <w:pPr>
        <w:spacing w:after="0" w:line="360" w:lineRule="auto"/>
        <w:jc w:val="both"/>
        <w:rPr>
          <w:rFonts w:ascii="Times New Roman" w:eastAsia="Times New Roman" w:hAnsi="Times New Roman" w:cs="Times New Roman"/>
          <w:sz w:val="26"/>
          <w:szCs w:val="26"/>
          <w:lang w:eastAsia="tr-TR"/>
        </w:rPr>
      </w:pPr>
      <w:r w:rsidRPr="00AB662B">
        <w:rPr>
          <w:rFonts w:ascii="Times New Roman" w:eastAsia="Times New Roman" w:hAnsi="Times New Roman" w:cs="Times New Roman"/>
          <w:b/>
          <w:bCs/>
          <w:sz w:val="26"/>
          <w:szCs w:val="26"/>
          <w:lang w:eastAsia="tr-TR"/>
        </w:rPr>
        <w:t xml:space="preserve">GİRİŞ </w:t>
      </w:r>
    </w:p>
    <w:p w:rsidR="00AB662B" w:rsidRPr="00881D39" w:rsidRDefault="00AB662B" w:rsidP="00881D39">
      <w:pPr>
        <w:spacing w:after="0" w:line="360" w:lineRule="auto"/>
        <w:ind w:firstLine="709"/>
        <w:jc w:val="both"/>
        <w:rPr>
          <w:rFonts w:ascii="Times New Roman" w:eastAsia="Times New Roman" w:hAnsi="Times New Roman" w:cs="Times New Roman"/>
          <w:b/>
          <w:bCs/>
          <w:sz w:val="23"/>
          <w:szCs w:val="23"/>
          <w:lang w:eastAsia="tr-TR"/>
        </w:rPr>
      </w:pPr>
      <w:r w:rsidRPr="00AB662B">
        <w:rPr>
          <w:rFonts w:ascii="Times New Roman" w:eastAsia="Times New Roman" w:hAnsi="Times New Roman" w:cs="Times New Roman"/>
          <w:sz w:val="23"/>
          <w:szCs w:val="23"/>
          <w:lang w:eastAsia="tr-TR"/>
        </w:rPr>
        <w:t xml:space="preserve">Belediye Meclisimizin 18.10.2017 tarih ve 2017/51 sayılı kararıyla stratejik plan ve performans programına uygun olarak hazırlanarak kabul edilen 2018 mali yılı gelir ve gider bütçesi, 252.000.000,00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gerçekleşeceği öngörülmüştür. 2018 yılının ilk 6 aylık </w:t>
      </w:r>
      <w:r w:rsidR="00881D39">
        <w:rPr>
          <w:rFonts w:ascii="Times New Roman" w:eastAsia="Times New Roman" w:hAnsi="Times New Roman" w:cs="Times New Roman"/>
          <w:sz w:val="23"/>
          <w:szCs w:val="23"/>
          <w:lang w:eastAsia="tr-TR"/>
        </w:rPr>
        <w:t>geliri</w:t>
      </w:r>
      <w:r w:rsidR="00881D39" w:rsidRPr="00AB662B">
        <w:rPr>
          <w:rFonts w:ascii="Times New Roman" w:eastAsia="Times New Roman" w:hAnsi="Times New Roman" w:cs="Times New Roman"/>
          <w:sz w:val="23"/>
          <w:szCs w:val="23"/>
          <w:lang w:eastAsia="tr-TR"/>
        </w:rPr>
        <w:t xml:space="preserve"> </w:t>
      </w:r>
      <w:r w:rsidR="003308D2">
        <w:rPr>
          <w:rFonts w:ascii="Times New Roman" w:eastAsia="Times New Roman" w:hAnsi="Times New Roman" w:cs="Times New Roman"/>
          <w:bCs/>
          <w:sz w:val="23"/>
          <w:szCs w:val="23"/>
          <w:lang w:eastAsia="tr-TR"/>
        </w:rPr>
        <w:t>87</w:t>
      </w:r>
      <w:r w:rsidRPr="00AB662B">
        <w:rPr>
          <w:rFonts w:ascii="Times New Roman" w:eastAsia="Times New Roman" w:hAnsi="Times New Roman" w:cs="Times New Roman"/>
          <w:bCs/>
          <w:sz w:val="23"/>
          <w:szCs w:val="23"/>
          <w:lang w:eastAsia="tr-TR"/>
        </w:rPr>
        <w:t>.</w:t>
      </w:r>
      <w:r w:rsidR="003308D2">
        <w:rPr>
          <w:rFonts w:ascii="Times New Roman" w:eastAsia="Times New Roman" w:hAnsi="Times New Roman" w:cs="Times New Roman"/>
          <w:bCs/>
          <w:sz w:val="23"/>
          <w:szCs w:val="23"/>
          <w:lang w:eastAsia="tr-TR"/>
        </w:rPr>
        <w:t>190</w:t>
      </w:r>
      <w:r w:rsidRPr="00AB662B">
        <w:rPr>
          <w:rFonts w:ascii="Times New Roman" w:eastAsia="Times New Roman" w:hAnsi="Times New Roman" w:cs="Times New Roman"/>
          <w:bCs/>
          <w:sz w:val="23"/>
          <w:szCs w:val="23"/>
          <w:lang w:eastAsia="tr-TR"/>
        </w:rPr>
        <w:t>.</w:t>
      </w:r>
      <w:r w:rsidR="003308D2">
        <w:rPr>
          <w:rFonts w:ascii="Times New Roman" w:eastAsia="Times New Roman" w:hAnsi="Times New Roman" w:cs="Times New Roman"/>
          <w:bCs/>
          <w:sz w:val="23"/>
          <w:szCs w:val="23"/>
          <w:lang w:eastAsia="tr-TR"/>
        </w:rPr>
        <w:t>073</w:t>
      </w:r>
      <w:r w:rsidRPr="00AB662B">
        <w:rPr>
          <w:rFonts w:ascii="Times New Roman" w:eastAsia="Times New Roman" w:hAnsi="Times New Roman" w:cs="Times New Roman"/>
          <w:bCs/>
          <w:sz w:val="23"/>
          <w:szCs w:val="23"/>
          <w:lang w:eastAsia="tr-TR"/>
        </w:rPr>
        <w:t>,</w:t>
      </w:r>
      <w:r w:rsidR="003308D2">
        <w:rPr>
          <w:rFonts w:ascii="Times New Roman" w:eastAsia="Times New Roman" w:hAnsi="Times New Roman" w:cs="Times New Roman"/>
          <w:bCs/>
          <w:sz w:val="23"/>
          <w:szCs w:val="23"/>
          <w:lang w:eastAsia="tr-TR"/>
        </w:rPr>
        <w:t>95</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00881D39">
        <w:rPr>
          <w:rFonts w:ascii="Arial TUR" w:eastAsia="Times New Roman" w:hAnsi="Arial TUR" w:cs="Arial TUR"/>
          <w:sz w:val="20"/>
          <w:szCs w:val="20"/>
          <w:lang w:eastAsia="tr-TR"/>
        </w:rPr>
        <w:t xml:space="preserve"> olarak gerçekleşmiş </w:t>
      </w:r>
      <w:r w:rsidR="00104103">
        <w:rPr>
          <w:rFonts w:ascii="Times New Roman" w:eastAsia="Times New Roman" w:hAnsi="Times New Roman" w:cs="Times New Roman"/>
          <w:sz w:val="23"/>
          <w:szCs w:val="23"/>
          <w:lang w:eastAsia="tr-TR"/>
        </w:rPr>
        <w:t>olup</w:t>
      </w:r>
      <w:r w:rsidR="00881D39">
        <w:rPr>
          <w:rFonts w:ascii="Times New Roman" w:eastAsia="Times New Roman" w:hAnsi="Times New Roman" w:cs="Times New Roman"/>
          <w:sz w:val="23"/>
          <w:szCs w:val="23"/>
          <w:lang w:eastAsia="tr-TR"/>
        </w:rPr>
        <w:t xml:space="preserve">, </w:t>
      </w:r>
      <w:r w:rsidRPr="00AB662B">
        <w:rPr>
          <w:rFonts w:ascii="Times New Roman" w:eastAsia="Times New Roman" w:hAnsi="Times New Roman" w:cs="Times New Roman"/>
          <w:sz w:val="23"/>
          <w:szCs w:val="23"/>
          <w:lang w:eastAsia="tr-TR"/>
        </w:rPr>
        <w:t>Gider</w:t>
      </w:r>
      <w:r w:rsidR="00881D39">
        <w:rPr>
          <w:rFonts w:ascii="Times New Roman" w:eastAsia="Times New Roman" w:hAnsi="Times New Roman" w:cs="Times New Roman"/>
          <w:sz w:val="23"/>
          <w:szCs w:val="23"/>
          <w:lang w:eastAsia="tr-TR"/>
        </w:rPr>
        <w:t xml:space="preserve">i </w:t>
      </w:r>
      <w:r w:rsidRPr="00AB662B">
        <w:rPr>
          <w:rFonts w:ascii="Times New Roman" w:eastAsia="Times New Roman" w:hAnsi="Times New Roman" w:cs="Times New Roman"/>
          <w:sz w:val="23"/>
          <w:szCs w:val="23"/>
          <w:lang w:eastAsia="tr-TR"/>
        </w:rPr>
        <w:t xml:space="preserve">ise; 2018 ilk altı ayında </w:t>
      </w:r>
      <w:r w:rsidRPr="00AB662B">
        <w:rPr>
          <w:rFonts w:ascii="Times New Roman" w:eastAsia="Times New Roman" w:hAnsi="Times New Roman" w:cs="Times New Roman"/>
          <w:bCs/>
          <w:sz w:val="23"/>
          <w:szCs w:val="23"/>
          <w:lang w:eastAsia="tr-TR"/>
        </w:rPr>
        <w:t>95.881.311,91</w:t>
      </w:r>
      <w:r w:rsidRPr="00AB662B">
        <w:rPr>
          <w:rFonts w:ascii="Arial TUR" w:eastAsia="Times New Roman" w:hAnsi="Arial TUR" w:cs="Arial TUR"/>
          <w:sz w:val="20"/>
          <w:szCs w:val="20"/>
          <w:lang w:eastAsia="tr-TR"/>
        </w:rPr>
        <w:t>₺</w:t>
      </w:r>
      <w:r w:rsidR="00104103">
        <w:rPr>
          <w:rFonts w:ascii="Times New Roman" w:eastAsia="Times New Roman" w:hAnsi="Times New Roman" w:cs="Times New Roman"/>
          <w:sz w:val="23"/>
          <w:szCs w:val="23"/>
          <w:lang w:eastAsia="tr-TR"/>
        </w:rPr>
        <w:t xml:space="preserve"> </w:t>
      </w:r>
      <w:r w:rsidR="00881D39">
        <w:rPr>
          <w:rFonts w:ascii="Arial TUR" w:eastAsia="Times New Roman" w:hAnsi="Arial TUR" w:cs="Arial TUR"/>
          <w:sz w:val="20"/>
          <w:szCs w:val="20"/>
          <w:lang w:eastAsia="tr-TR"/>
        </w:rPr>
        <w:t>olarak gerçekleşmiştir.</w:t>
      </w:r>
    </w:p>
    <w:p w:rsidR="00AB662B" w:rsidRPr="00AB662B" w:rsidRDefault="00AB662B" w:rsidP="00AB662B">
      <w:pPr>
        <w:spacing w:after="0" w:line="360" w:lineRule="auto"/>
        <w:ind w:firstLine="709"/>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 xml:space="preserve">2018 yılının ilk altı ayında </w:t>
      </w:r>
      <w:r w:rsidRPr="00AB662B">
        <w:rPr>
          <w:rFonts w:ascii="Times New Roman" w:eastAsia="Times New Roman" w:hAnsi="Times New Roman" w:cs="Times New Roman"/>
          <w:sz w:val="24"/>
          <w:szCs w:val="24"/>
          <w:lang w:eastAsia="tr-TR"/>
        </w:rPr>
        <w:t>8</w:t>
      </w:r>
      <w:r w:rsidR="00CC2B1A">
        <w:rPr>
          <w:rFonts w:ascii="Times New Roman" w:eastAsia="Times New Roman" w:hAnsi="Times New Roman" w:cs="Times New Roman"/>
          <w:sz w:val="24"/>
          <w:szCs w:val="24"/>
          <w:lang w:eastAsia="tr-TR"/>
        </w:rPr>
        <w:t>7</w:t>
      </w:r>
      <w:r w:rsidRPr="00AB662B">
        <w:rPr>
          <w:rFonts w:ascii="Times New Roman" w:eastAsia="Times New Roman" w:hAnsi="Times New Roman" w:cs="Times New Roman"/>
          <w:sz w:val="24"/>
          <w:szCs w:val="24"/>
          <w:lang w:eastAsia="tr-TR"/>
        </w:rPr>
        <w:t>.</w:t>
      </w:r>
      <w:r w:rsidR="00CC2B1A">
        <w:rPr>
          <w:rFonts w:ascii="Times New Roman" w:eastAsia="Times New Roman" w:hAnsi="Times New Roman" w:cs="Times New Roman"/>
          <w:sz w:val="24"/>
          <w:szCs w:val="24"/>
          <w:lang w:eastAsia="tr-TR"/>
        </w:rPr>
        <w:t>190</w:t>
      </w:r>
      <w:r w:rsidRPr="00AB662B">
        <w:rPr>
          <w:rFonts w:ascii="Times New Roman" w:eastAsia="Times New Roman" w:hAnsi="Times New Roman" w:cs="Times New Roman"/>
          <w:sz w:val="24"/>
          <w:szCs w:val="24"/>
          <w:lang w:eastAsia="tr-TR"/>
        </w:rPr>
        <w:t>.</w:t>
      </w:r>
      <w:r w:rsidR="00CC2B1A">
        <w:rPr>
          <w:rFonts w:ascii="Times New Roman" w:eastAsia="Times New Roman" w:hAnsi="Times New Roman" w:cs="Times New Roman"/>
          <w:sz w:val="24"/>
          <w:szCs w:val="24"/>
          <w:lang w:eastAsia="tr-TR"/>
        </w:rPr>
        <w:t>0</w:t>
      </w:r>
      <w:r w:rsidRPr="00AB662B">
        <w:rPr>
          <w:rFonts w:ascii="Times New Roman" w:eastAsia="Times New Roman" w:hAnsi="Times New Roman" w:cs="Times New Roman"/>
          <w:sz w:val="24"/>
          <w:szCs w:val="24"/>
          <w:lang w:eastAsia="tr-TR"/>
        </w:rPr>
        <w:t>7</w:t>
      </w:r>
      <w:r w:rsidR="00CC2B1A">
        <w:rPr>
          <w:rFonts w:ascii="Times New Roman" w:eastAsia="Times New Roman" w:hAnsi="Times New Roman" w:cs="Times New Roman"/>
          <w:sz w:val="24"/>
          <w:szCs w:val="24"/>
          <w:lang w:eastAsia="tr-TR"/>
        </w:rPr>
        <w:t>3</w:t>
      </w:r>
      <w:r w:rsidRPr="00AB662B">
        <w:rPr>
          <w:rFonts w:ascii="Times New Roman" w:eastAsia="Times New Roman" w:hAnsi="Times New Roman" w:cs="Times New Roman"/>
          <w:sz w:val="24"/>
          <w:szCs w:val="24"/>
          <w:lang w:eastAsia="tr-TR"/>
        </w:rPr>
        <w:t>,</w:t>
      </w:r>
      <w:r w:rsidR="00CC2B1A">
        <w:rPr>
          <w:rFonts w:ascii="Times New Roman" w:eastAsia="Times New Roman" w:hAnsi="Times New Roman" w:cs="Times New Roman"/>
          <w:sz w:val="24"/>
          <w:szCs w:val="24"/>
          <w:lang w:eastAsia="tr-TR"/>
        </w:rPr>
        <w:t xml:space="preserve">95 </w:t>
      </w:r>
      <w:r w:rsidRPr="00AB662B">
        <w:rPr>
          <w:rFonts w:ascii="Arial TUR" w:eastAsia="Times New Roman" w:hAnsi="Arial TUR" w:cs="Arial TUR"/>
          <w:sz w:val="20"/>
          <w:szCs w:val="20"/>
          <w:lang w:eastAsia="tr-TR"/>
        </w:rPr>
        <w:t>₺</w:t>
      </w:r>
      <w:r w:rsidR="00104103">
        <w:rPr>
          <w:rFonts w:ascii="Times New Roman" w:eastAsia="Times New Roman" w:hAnsi="Times New Roman" w:cs="Times New Roman"/>
          <w:sz w:val="23"/>
          <w:szCs w:val="23"/>
          <w:lang w:eastAsia="tr-TR"/>
        </w:rPr>
        <w:t xml:space="preserve"> </w:t>
      </w:r>
      <w:r w:rsidRPr="00AB662B">
        <w:rPr>
          <w:rFonts w:ascii="Times New Roman" w:eastAsia="Times New Roman" w:hAnsi="Times New Roman" w:cs="Times New Roman"/>
          <w:sz w:val="23"/>
          <w:szCs w:val="23"/>
          <w:lang w:eastAsia="tr-TR"/>
        </w:rPr>
        <w:t>ile gelir bütçemizin %3</w:t>
      </w:r>
      <w:r w:rsidR="00CC2B1A">
        <w:rPr>
          <w:rFonts w:ascii="Times New Roman" w:eastAsia="Times New Roman" w:hAnsi="Times New Roman" w:cs="Times New Roman"/>
          <w:sz w:val="23"/>
          <w:szCs w:val="23"/>
          <w:lang w:eastAsia="tr-TR"/>
        </w:rPr>
        <w:t>4</w:t>
      </w:r>
      <w:r w:rsidRPr="00AB662B">
        <w:rPr>
          <w:rFonts w:ascii="Times New Roman" w:eastAsia="Times New Roman" w:hAnsi="Times New Roman" w:cs="Times New Roman"/>
          <w:sz w:val="23"/>
          <w:szCs w:val="23"/>
          <w:lang w:eastAsia="tr-TR"/>
        </w:rPr>
        <w:t>,</w:t>
      </w:r>
      <w:r w:rsidR="00CC2B1A">
        <w:rPr>
          <w:rFonts w:ascii="Times New Roman" w:eastAsia="Times New Roman" w:hAnsi="Times New Roman" w:cs="Times New Roman"/>
          <w:sz w:val="23"/>
          <w:szCs w:val="23"/>
          <w:lang w:eastAsia="tr-TR"/>
        </w:rPr>
        <w:t>60’lı</w:t>
      </w:r>
      <w:r w:rsidRPr="00AB662B">
        <w:rPr>
          <w:rFonts w:ascii="Times New Roman" w:eastAsia="Times New Roman" w:hAnsi="Times New Roman" w:cs="Times New Roman"/>
          <w:sz w:val="23"/>
          <w:szCs w:val="23"/>
          <w:lang w:eastAsia="tr-TR"/>
        </w:rPr>
        <w:t xml:space="preserve">k kısmını, </w:t>
      </w:r>
      <w:r w:rsidRPr="00AB662B">
        <w:rPr>
          <w:rFonts w:ascii="Times New Roman" w:eastAsia="Times New Roman" w:hAnsi="Times New Roman" w:cs="Times New Roman"/>
          <w:bCs/>
          <w:sz w:val="23"/>
          <w:szCs w:val="23"/>
          <w:lang w:eastAsia="tr-TR"/>
        </w:rPr>
        <w:t>95.881.311,91</w:t>
      </w:r>
      <w:r w:rsidRPr="00AB662B">
        <w:rPr>
          <w:rFonts w:ascii="Arial TUR" w:eastAsia="Times New Roman" w:hAnsi="Arial TUR" w:cs="Arial TUR"/>
          <w:sz w:val="20"/>
          <w:szCs w:val="20"/>
          <w:lang w:eastAsia="tr-TR"/>
        </w:rPr>
        <w:t>₺</w:t>
      </w:r>
      <w:r w:rsidR="00104103">
        <w:rPr>
          <w:rFonts w:ascii="Times New Roman" w:eastAsia="Times New Roman" w:hAnsi="Times New Roman" w:cs="Times New Roman"/>
          <w:sz w:val="23"/>
          <w:szCs w:val="23"/>
          <w:lang w:eastAsia="tr-TR"/>
        </w:rPr>
        <w:t xml:space="preserve">  ile gider bütçemizin  %38,05’li</w:t>
      </w:r>
      <w:r w:rsidRPr="00AB662B">
        <w:rPr>
          <w:rFonts w:ascii="Times New Roman" w:eastAsia="Times New Roman" w:hAnsi="Times New Roman" w:cs="Times New Roman"/>
          <w:sz w:val="23"/>
          <w:szCs w:val="23"/>
          <w:lang w:eastAsia="tr-TR"/>
        </w:rPr>
        <w:t xml:space="preserve">k kısmını gerçekleştirmiş bulunmaktayız. </w:t>
      </w:r>
    </w:p>
    <w:p w:rsidR="00AB662B" w:rsidRPr="00AB662B" w:rsidRDefault="00AB662B" w:rsidP="00AB662B">
      <w:pPr>
        <w:spacing w:after="0" w:line="360" w:lineRule="auto"/>
        <w:ind w:firstLine="708"/>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 xml:space="preserve">2017 yılının aynı döneminde gelir gerçekleşmesi </w:t>
      </w:r>
      <w:r w:rsidRPr="00AB662B">
        <w:rPr>
          <w:rFonts w:ascii="Times New Roman" w:eastAsia="Times New Roman" w:hAnsi="Times New Roman" w:cs="Times New Roman"/>
          <w:sz w:val="24"/>
          <w:szCs w:val="24"/>
          <w:lang w:eastAsia="tr-TR"/>
        </w:rPr>
        <w:t>76.274.093,44</w:t>
      </w:r>
      <w:r w:rsidR="00104103">
        <w:rPr>
          <w:rFonts w:ascii="Times New Roman" w:eastAsia="Times New Roman" w:hAnsi="Times New Roman" w:cs="Times New Roman"/>
          <w:sz w:val="24"/>
          <w:szCs w:val="24"/>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gider gerçekleşmesi ise 69.622.056,31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olmuştur.</w:t>
      </w:r>
    </w:p>
    <w:p w:rsidR="00AB662B" w:rsidRPr="00AB662B" w:rsidRDefault="00AB662B" w:rsidP="00AB662B">
      <w:pPr>
        <w:spacing w:after="0" w:line="360" w:lineRule="auto"/>
        <w:ind w:firstLine="708"/>
        <w:jc w:val="both"/>
        <w:rPr>
          <w:rFonts w:ascii="Times New Roman" w:eastAsia="Times New Roman" w:hAnsi="Times New Roman" w:cs="Times New Roman"/>
          <w:b/>
          <w:sz w:val="23"/>
          <w:szCs w:val="23"/>
          <w:lang w:eastAsia="tr-TR"/>
        </w:rPr>
      </w:pPr>
      <w:r w:rsidRPr="00AB662B">
        <w:rPr>
          <w:rFonts w:ascii="Times New Roman" w:eastAsia="Times New Roman" w:hAnsi="Times New Roman" w:cs="Times New Roman"/>
          <w:b/>
          <w:sz w:val="23"/>
          <w:szCs w:val="23"/>
          <w:lang w:eastAsia="tr-TR"/>
        </w:rPr>
        <w:t>2018 yılı ilk altı aylık Gelir ve Gider Tabloları aşağıda sunulmuştur.</w:t>
      </w:r>
    </w:p>
    <w:tbl>
      <w:tblPr>
        <w:tblW w:w="10008"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468"/>
        <w:gridCol w:w="2637"/>
        <w:gridCol w:w="2369"/>
        <w:gridCol w:w="2534"/>
      </w:tblGrid>
      <w:tr w:rsidR="00AB662B" w:rsidRPr="00AB662B" w:rsidTr="00881D39">
        <w:trPr>
          <w:trHeight w:val="857"/>
        </w:trPr>
        <w:tc>
          <w:tcPr>
            <w:tcW w:w="10008" w:type="dxa"/>
            <w:gridSpan w:val="4"/>
            <w:tcBorders>
              <w:top w:val="single" w:sz="8" w:space="0" w:color="FFFFFF"/>
              <w:left w:val="single" w:sz="8" w:space="0" w:color="FFFFFF"/>
              <w:bottom w:val="single" w:sz="24" w:space="0" w:color="FFFFFF"/>
              <w:right w:val="single" w:sz="8" w:space="0" w:color="FFFFFF"/>
            </w:tcBorders>
            <w:shd w:val="clear" w:color="auto" w:fill="4BACC6"/>
            <w:noWrap/>
            <w:vAlign w:val="center"/>
            <w:hideMark/>
          </w:tcPr>
          <w:p w:rsidR="00AB662B" w:rsidRPr="00AB662B" w:rsidRDefault="00AB662B" w:rsidP="00AB662B">
            <w:pPr>
              <w:spacing w:after="0" w:line="240" w:lineRule="auto"/>
              <w:jc w:val="center"/>
              <w:rPr>
                <w:rFonts w:ascii="Arial TUR" w:eastAsia="Times New Roman" w:hAnsi="Arial TUR" w:cs="Arial TUR"/>
                <w:b/>
                <w:bCs/>
                <w:color w:val="FFFFFF"/>
                <w:sz w:val="24"/>
                <w:szCs w:val="24"/>
                <w:lang w:eastAsia="tr-TR"/>
              </w:rPr>
            </w:pPr>
            <w:r w:rsidRPr="00AB662B">
              <w:rPr>
                <w:rFonts w:ascii="Arial TUR" w:eastAsia="Times New Roman" w:hAnsi="Arial TUR" w:cs="Arial TUR"/>
                <w:b/>
                <w:bCs/>
                <w:color w:val="FFFFFF"/>
                <w:sz w:val="24"/>
                <w:szCs w:val="24"/>
                <w:lang w:eastAsia="tr-TR"/>
              </w:rPr>
              <w:t>2018 YILI BÜTÇE PERFORMANSI</w:t>
            </w:r>
          </w:p>
        </w:tc>
      </w:tr>
      <w:tr w:rsidR="00AB662B" w:rsidRPr="00AB662B" w:rsidTr="00881D39">
        <w:trPr>
          <w:trHeight w:val="857"/>
        </w:trPr>
        <w:tc>
          <w:tcPr>
            <w:tcW w:w="2468" w:type="dxa"/>
            <w:tcBorders>
              <w:top w:val="single" w:sz="8" w:space="0" w:color="FFFFFF"/>
              <w:left w:val="single" w:sz="8" w:space="0" w:color="FFFFFF"/>
              <w:bottom w:val="nil"/>
              <w:right w:val="single" w:sz="24" w:space="0" w:color="FFFFFF"/>
            </w:tcBorders>
            <w:shd w:val="clear" w:color="auto" w:fill="4BACC6"/>
            <w:noWrap/>
            <w:vAlign w:val="center"/>
            <w:hideMark/>
          </w:tcPr>
          <w:p w:rsidR="00AB662B" w:rsidRPr="00AB662B" w:rsidRDefault="00AB662B" w:rsidP="00AB662B">
            <w:pPr>
              <w:spacing w:after="0" w:line="240" w:lineRule="auto"/>
              <w:jc w:val="center"/>
              <w:rPr>
                <w:rFonts w:ascii="Arial TUR" w:eastAsia="Times New Roman" w:hAnsi="Arial TUR" w:cs="Arial TUR"/>
                <w:b/>
                <w:bCs/>
                <w:color w:val="FFFFFF"/>
                <w:sz w:val="24"/>
                <w:szCs w:val="24"/>
                <w:lang w:eastAsia="tr-TR"/>
              </w:rPr>
            </w:pPr>
            <w:r w:rsidRPr="00AB662B">
              <w:rPr>
                <w:rFonts w:ascii="Arial TUR" w:eastAsia="Times New Roman" w:hAnsi="Arial TUR" w:cs="Arial TUR"/>
                <w:b/>
                <w:bCs/>
                <w:color w:val="FFFFFF"/>
                <w:sz w:val="24"/>
                <w:szCs w:val="24"/>
                <w:lang w:eastAsia="tr-TR"/>
              </w:rPr>
              <w:t>BÜTÇE TÜRÜ</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center"/>
              <w:rPr>
                <w:rFonts w:ascii="Arial TUR" w:eastAsia="Times New Roman" w:hAnsi="Arial TUR" w:cs="Arial TUR"/>
                <w:b/>
                <w:bCs/>
                <w:sz w:val="24"/>
                <w:szCs w:val="24"/>
                <w:lang w:eastAsia="tr-TR"/>
              </w:rPr>
            </w:pPr>
            <w:r w:rsidRPr="00AB662B">
              <w:rPr>
                <w:rFonts w:ascii="Arial TUR" w:eastAsia="Times New Roman" w:hAnsi="Arial TUR" w:cs="Arial TUR"/>
                <w:b/>
                <w:bCs/>
                <w:sz w:val="24"/>
                <w:szCs w:val="24"/>
                <w:lang w:eastAsia="tr-TR"/>
              </w:rPr>
              <w:t>BÜTÇE</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center"/>
              <w:rPr>
                <w:rFonts w:ascii="Arial TUR" w:eastAsia="Times New Roman" w:hAnsi="Arial TUR" w:cs="Arial TUR"/>
                <w:b/>
                <w:bCs/>
                <w:sz w:val="24"/>
                <w:szCs w:val="24"/>
                <w:lang w:eastAsia="tr-TR"/>
              </w:rPr>
            </w:pPr>
            <w:r w:rsidRPr="00AB662B">
              <w:rPr>
                <w:rFonts w:ascii="Arial TUR" w:eastAsia="Times New Roman" w:hAnsi="Arial TUR" w:cs="Arial TUR"/>
                <w:b/>
                <w:bCs/>
                <w:sz w:val="24"/>
                <w:szCs w:val="24"/>
                <w:lang w:eastAsia="tr-TR"/>
              </w:rPr>
              <w:t>GERÇEKLEŞME</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center"/>
              <w:rPr>
                <w:rFonts w:ascii="Arial TUR" w:eastAsia="Times New Roman" w:hAnsi="Arial TUR" w:cs="Arial TUR"/>
                <w:b/>
                <w:bCs/>
                <w:sz w:val="24"/>
                <w:szCs w:val="24"/>
                <w:lang w:eastAsia="tr-TR"/>
              </w:rPr>
            </w:pPr>
            <w:r w:rsidRPr="00AB662B">
              <w:rPr>
                <w:rFonts w:ascii="Arial TUR" w:eastAsia="Times New Roman" w:hAnsi="Arial TUR" w:cs="Arial TUR"/>
                <w:b/>
                <w:bCs/>
                <w:sz w:val="24"/>
                <w:szCs w:val="24"/>
                <w:lang w:eastAsia="tr-TR"/>
              </w:rPr>
              <w:t>GERÇEKLEŞME ORANI %</w:t>
            </w:r>
          </w:p>
        </w:tc>
      </w:tr>
      <w:tr w:rsidR="00AB662B" w:rsidRPr="00AB662B" w:rsidTr="00881D39">
        <w:trPr>
          <w:trHeight w:val="857"/>
        </w:trPr>
        <w:tc>
          <w:tcPr>
            <w:tcW w:w="2468" w:type="dxa"/>
            <w:tcBorders>
              <w:left w:val="single" w:sz="8" w:space="0" w:color="FFFFFF"/>
              <w:bottom w:val="nil"/>
              <w:right w:val="single" w:sz="24" w:space="0" w:color="FFFFFF"/>
            </w:tcBorders>
            <w:shd w:val="clear" w:color="auto" w:fill="4BACC6"/>
            <w:noWrap/>
            <w:vAlign w:val="center"/>
            <w:hideMark/>
          </w:tcPr>
          <w:p w:rsidR="00AB662B" w:rsidRPr="00AB662B" w:rsidRDefault="00AB662B" w:rsidP="00AB662B">
            <w:pPr>
              <w:spacing w:after="0" w:line="240" w:lineRule="auto"/>
              <w:rPr>
                <w:rFonts w:ascii="Arial TUR" w:eastAsia="Times New Roman" w:hAnsi="Arial TUR" w:cs="Arial TUR"/>
                <w:b/>
                <w:bCs/>
                <w:color w:val="FFFFFF"/>
                <w:sz w:val="24"/>
                <w:szCs w:val="24"/>
                <w:lang w:eastAsia="tr-TR"/>
              </w:rPr>
            </w:pPr>
            <w:r w:rsidRPr="00AB662B">
              <w:rPr>
                <w:rFonts w:ascii="Arial TUR" w:eastAsia="Times New Roman" w:hAnsi="Arial TUR" w:cs="Arial TUR"/>
                <w:b/>
                <w:bCs/>
                <w:color w:val="FFFFFF"/>
                <w:sz w:val="24"/>
                <w:szCs w:val="24"/>
                <w:lang w:eastAsia="tr-TR"/>
              </w:rPr>
              <w:t>GELİR</w:t>
            </w:r>
          </w:p>
        </w:tc>
        <w:tc>
          <w:tcPr>
            <w:tcW w:w="2637" w:type="dxa"/>
            <w:shd w:val="clear" w:color="auto" w:fill="D2EAF1"/>
            <w:noWrap/>
            <w:vAlign w:val="center"/>
            <w:hideMark/>
          </w:tcPr>
          <w:p w:rsidR="00AB662B" w:rsidRPr="00AB662B" w:rsidRDefault="00AB662B" w:rsidP="00AB662B">
            <w:pPr>
              <w:spacing w:after="0" w:line="240" w:lineRule="auto"/>
              <w:jc w:val="right"/>
              <w:rPr>
                <w:rFonts w:ascii="Arial TUR" w:eastAsia="Times New Roman" w:hAnsi="Arial TUR" w:cs="Arial TUR"/>
                <w:sz w:val="24"/>
                <w:szCs w:val="24"/>
                <w:lang w:eastAsia="tr-TR"/>
              </w:rPr>
            </w:pPr>
            <w:r w:rsidRPr="00AB662B">
              <w:rPr>
                <w:rFonts w:ascii="Arial TUR" w:eastAsia="Times New Roman" w:hAnsi="Arial TUR" w:cs="Arial TUR"/>
                <w:sz w:val="24"/>
                <w:szCs w:val="24"/>
                <w:lang w:eastAsia="tr-TR"/>
              </w:rPr>
              <w:t>252.000.000,00</w:t>
            </w:r>
          </w:p>
        </w:tc>
        <w:tc>
          <w:tcPr>
            <w:tcW w:w="2369" w:type="dxa"/>
            <w:shd w:val="clear" w:color="auto" w:fill="D2EAF1"/>
            <w:noWrap/>
            <w:vAlign w:val="center"/>
            <w:hideMark/>
          </w:tcPr>
          <w:p w:rsidR="00AB662B" w:rsidRPr="00AB662B" w:rsidRDefault="00AB662B" w:rsidP="00CC2B1A">
            <w:pPr>
              <w:spacing w:after="0" w:line="240" w:lineRule="auto"/>
              <w:jc w:val="right"/>
              <w:rPr>
                <w:rFonts w:ascii="Arial TUR" w:eastAsia="Times New Roman" w:hAnsi="Arial TUR" w:cs="Arial TUR"/>
                <w:sz w:val="24"/>
                <w:szCs w:val="24"/>
                <w:lang w:eastAsia="tr-TR"/>
              </w:rPr>
            </w:pPr>
            <w:r w:rsidRPr="00AB662B">
              <w:rPr>
                <w:rFonts w:ascii="Arial TUR" w:eastAsia="Times New Roman" w:hAnsi="Arial TUR" w:cs="Arial TUR"/>
                <w:sz w:val="24"/>
                <w:szCs w:val="24"/>
                <w:lang w:eastAsia="tr-TR"/>
              </w:rPr>
              <w:t>8</w:t>
            </w:r>
            <w:r w:rsidR="00CC2B1A">
              <w:rPr>
                <w:rFonts w:ascii="Arial TUR" w:eastAsia="Times New Roman" w:hAnsi="Arial TUR" w:cs="Arial TUR"/>
                <w:sz w:val="24"/>
                <w:szCs w:val="24"/>
                <w:lang w:eastAsia="tr-TR"/>
              </w:rPr>
              <w:t>7</w:t>
            </w:r>
            <w:r w:rsidRPr="00AB662B">
              <w:rPr>
                <w:rFonts w:ascii="Arial TUR" w:eastAsia="Times New Roman" w:hAnsi="Arial TUR" w:cs="Arial TUR"/>
                <w:sz w:val="24"/>
                <w:szCs w:val="24"/>
                <w:lang w:eastAsia="tr-TR"/>
              </w:rPr>
              <w:t>.</w:t>
            </w:r>
            <w:r w:rsidR="00CC2B1A">
              <w:rPr>
                <w:rFonts w:ascii="Arial TUR" w:eastAsia="Times New Roman" w:hAnsi="Arial TUR" w:cs="Arial TUR"/>
                <w:sz w:val="24"/>
                <w:szCs w:val="24"/>
                <w:lang w:eastAsia="tr-TR"/>
              </w:rPr>
              <w:t>190</w:t>
            </w:r>
            <w:r w:rsidRPr="00AB662B">
              <w:rPr>
                <w:rFonts w:ascii="Arial TUR" w:eastAsia="Times New Roman" w:hAnsi="Arial TUR" w:cs="Arial TUR"/>
                <w:sz w:val="24"/>
                <w:szCs w:val="24"/>
                <w:lang w:eastAsia="tr-TR"/>
              </w:rPr>
              <w:t>.</w:t>
            </w:r>
            <w:r w:rsidR="00CC2B1A">
              <w:rPr>
                <w:rFonts w:ascii="Arial TUR" w:eastAsia="Times New Roman" w:hAnsi="Arial TUR" w:cs="Arial TUR"/>
                <w:sz w:val="24"/>
                <w:szCs w:val="24"/>
                <w:lang w:eastAsia="tr-TR"/>
              </w:rPr>
              <w:t>073</w:t>
            </w:r>
            <w:r w:rsidRPr="00AB662B">
              <w:rPr>
                <w:rFonts w:ascii="Arial TUR" w:eastAsia="Times New Roman" w:hAnsi="Arial TUR" w:cs="Arial TUR"/>
                <w:sz w:val="24"/>
                <w:szCs w:val="24"/>
                <w:lang w:eastAsia="tr-TR"/>
              </w:rPr>
              <w:t>,</w:t>
            </w:r>
            <w:r w:rsidR="00CC2B1A">
              <w:rPr>
                <w:rFonts w:ascii="Arial TUR" w:eastAsia="Times New Roman" w:hAnsi="Arial TUR" w:cs="Arial TUR"/>
                <w:sz w:val="24"/>
                <w:szCs w:val="24"/>
                <w:lang w:eastAsia="tr-TR"/>
              </w:rPr>
              <w:t>95</w:t>
            </w:r>
          </w:p>
        </w:tc>
        <w:tc>
          <w:tcPr>
            <w:tcW w:w="2534" w:type="dxa"/>
            <w:shd w:val="clear" w:color="auto" w:fill="D2EAF1"/>
            <w:noWrap/>
            <w:vAlign w:val="center"/>
            <w:hideMark/>
          </w:tcPr>
          <w:p w:rsidR="00CC2B1A" w:rsidRPr="00AB662B" w:rsidRDefault="00AB662B" w:rsidP="00CC2B1A">
            <w:pPr>
              <w:spacing w:after="0" w:line="240" w:lineRule="auto"/>
              <w:jc w:val="center"/>
              <w:rPr>
                <w:rFonts w:ascii="Arial TUR" w:eastAsia="Times New Roman" w:hAnsi="Arial TUR" w:cs="Arial TUR"/>
                <w:sz w:val="24"/>
                <w:szCs w:val="24"/>
                <w:lang w:eastAsia="tr-TR"/>
              </w:rPr>
            </w:pPr>
            <w:r w:rsidRPr="00AB662B">
              <w:rPr>
                <w:rFonts w:ascii="Arial TUR" w:eastAsia="Times New Roman" w:hAnsi="Arial TUR" w:cs="Arial TUR"/>
                <w:sz w:val="24"/>
                <w:szCs w:val="24"/>
                <w:lang w:eastAsia="tr-TR"/>
              </w:rPr>
              <w:t>3</w:t>
            </w:r>
            <w:r w:rsidR="00CC2B1A">
              <w:rPr>
                <w:rFonts w:ascii="Arial TUR" w:eastAsia="Times New Roman" w:hAnsi="Arial TUR" w:cs="Arial TUR"/>
                <w:sz w:val="24"/>
                <w:szCs w:val="24"/>
                <w:lang w:eastAsia="tr-TR"/>
              </w:rPr>
              <w:t>4</w:t>
            </w:r>
            <w:r w:rsidRPr="00AB662B">
              <w:rPr>
                <w:rFonts w:ascii="Arial TUR" w:eastAsia="Times New Roman" w:hAnsi="Arial TUR" w:cs="Arial TUR"/>
                <w:sz w:val="24"/>
                <w:szCs w:val="24"/>
                <w:lang w:eastAsia="tr-TR"/>
              </w:rPr>
              <w:t>,</w:t>
            </w:r>
            <w:r w:rsidR="00CC2B1A">
              <w:rPr>
                <w:rFonts w:ascii="Arial TUR" w:eastAsia="Times New Roman" w:hAnsi="Arial TUR" w:cs="Arial TUR"/>
                <w:sz w:val="24"/>
                <w:szCs w:val="24"/>
                <w:lang w:eastAsia="tr-TR"/>
              </w:rPr>
              <w:t>60</w:t>
            </w:r>
          </w:p>
        </w:tc>
      </w:tr>
      <w:tr w:rsidR="00AB662B" w:rsidRPr="00AB662B" w:rsidTr="00881D39">
        <w:trPr>
          <w:trHeight w:val="857"/>
        </w:trPr>
        <w:tc>
          <w:tcPr>
            <w:tcW w:w="2468" w:type="dxa"/>
            <w:tcBorders>
              <w:top w:val="single" w:sz="8" w:space="0" w:color="FFFFFF"/>
              <w:left w:val="single" w:sz="8" w:space="0" w:color="FFFFFF"/>
              <w:bottom w:val="single" w:sz="8" w:space="0" w:color="FFFFFF"/>
              <w:right w:val="single" w:sz="24" w:space="0" w:color="FFFFFF"/>
            </w:tcBorders>
            <w:shd w:val="clear" w:color="auto" w:fill="4BACC6"/>
            <w:noWrap/>
            <w:vAlign w:val="center"/>
            <w:hideMark/>
          </w:tcPr>
          <w:p w:rsidR="00AB662B" w:rsidRPr="00AB662B" w:rsidRDefault="00AB662B" w:rsidP="00AB662B">
            <w:pPr>
              <w:spacing w:after="0" w:line="240" w:lineRule="auto"/>
              <w:rPr>
                <w:rFonts w:ascii="Arial TUR" w:eastAsia="Times New Roman" w:hAnsi="Arial TUR" w:cs="Arial TUR"/>
                <w:b/>
                <w:bCs/>
                <w:color w:val="FFFFFF"/>
                <w:sz w:val="24"/>
                <w:szCs w:val="24"/>
                <w:lang w:eastAsia="tr-TR"/>
              </w:rPr>
            </w:pPr>
            <w:r w:rsidRPr="00AB662B">
              <w:rPr>
                <w:rFonts w:ascii="Arial TUR" w:eastAsia="Times New Roman" w:hAnsi="Arial TUR" w:cs="Arial TUR"/>
                <w:b/>
                <w:bCs/>
                <w:color w:val="FFFFFF"/>
                <w:sz w:val="24"/>
                <w:szCs w:val="24"/>
                <w:lang w:eastAsia="tr-TR"/>
              </w:rPr>
              <w:t>GİDER</w:t>
            </w:r>
          </w:p>
        </w:tc>
        <w:tc>
          <w:tcPr>
            <w:tcW w:w="2637"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right"/>
              <w:rPr>
                <w:rFonts w:ascii="Arial TUR" w:eastAsia="Times New Roman" w:hAnsi="Arial TUR" w:cs="Arial TUR"/>
                <w:sz w:val="24"/>
                <w:szCs w:val="24"/>
                <w:lang w:eastAsia="tr-TR"/>
              </w:rPr>
            </w:pPr>
            <w:r w:rsidRPr="00AB662B">
              <w:rPr>
                <w:rFonts w:ascii="Arial TUR" w:eastAsia="Times New Roman" w:hAnsi="Arial TUR" w:cs="Arial TUR"/>
                <w:sz w:val="24"/>
                <w:szCs w:val="24"/>
                <w:lang w:eastAsia="tr-TR"/>
              </w:rPr>
              <w:t>252.000.000,00</w:t>
            </w:r>
          </w:p>
        </w:tc>
        <w:tc>
          <w:tcPr>
            <w:tcW w:w="2369"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right"/>
              <w:rPr>
                <w:rFonts w:ascii="Arial TUR" w:eastAsia="Times New Roman" w:hAnsi="Arial TUR" w:cs="Arial TUR"/>
                <w:sz w:val="24"/>
                <w:szCs w:val="24"/>
                <w:lang w:eastAsia="tr-TR"/>
              </w:rPr>
            </w:pPr>
            <w:r w:rsidRPr="00AB662B">
              <w:rPr>
                <w:rFonts w:ascii="Arial TUR" w:eastAsia="Times New Roman" w:hAnsi="Arial TUR" w:cs="Arial TUR"/>
                <w:sz w:val="24"/>
                <w:szCs w:val="24"/>
                <w:lang w:eastAsia="tr-TR"/>
              </w:rPr>
              <w:t>95.881.311,91</w:t>
            </w:r>
          </w:p>
        </w:tc>
        <w:tc>
          <w:tcPr>
            <w:tcW w:w="2534" w:type="dxa"/>
            <w:tcBorders>
              <w:top w:val="single" w:sz="8" w:space="0" w:color="FFFFFF"/>
              <w:left w:val="single" w:sz="8" w:space="0" w:color="FFFFFF"/>
              <w:bottom w:val="single" w:sz="8" w:space="0" w:color="FFFFFF"/>
              <w:right w:val="single" w:sz="8" w:space="0" w:color="FFFFFF"/>
            </w:tcBorders>
            <w:shd w:val="clear" w:color="auto" w:fill="A5D5E2"/>
            <w:noWrap/>
            <w:vAlign w:val="center"/>
            <w:hideMark/>
          </w:tcPr>
          <w:p w:rsidR="00AB662B" w:rsidRPr="00AB662B" w:rsidRDefault="00AB662B" w:rsidP="00AB662B">
            <w:pPr>
              <w:spacing w:after="0" w:line="240" w:lineRule="auto"/>
              <w:jc w:val="center"/>
              <w:rPr>
                <w:rFonts w:ascii="Arial TUR" w:eastAsia="Times New Roman" w:hAnsi="Arial TUR" w:cs="Arial TUR"/>
                <w:sz w:val="24"/>
                <w:szCs w:val="24"/>
                <w:lang w:eastAsia="tr-TR"/>
              </w:rPr>
            </w:pPr>
            <w:r w:rsidRPr="00AB662B">
              <w:rPr>
                <w:rFonts w:ascii="Arial TUR" w:eastAsia="Times New Roman" w:hAnsi="Arial TUR" w:cs="Arial TUR"/>
                <w:sz w:val="24"/>
                <w:szCs w:val="24"/>
                <w:lang w:eastAsia="tr-TR"/>
              </w:rPr>
              <w:t>38,05</w:t>
            </w:r>
          </w:p>
        </w:tc>
      </w:tr>
    </w:tbl>
    <w:p w:rsidR="001A6820" w:rsidRDefault="001A6820" w:rsidP="001A6820">
      <w:pPr>
        <w:spacing w:after="0" w:line="360" w:lineRule="auto"/>
        <w:jc w:val="both"/>
        <w:rPr>
          <w:rFonts w:ascii="Times New Roman" w:eastAsia="Times New Roman" w:hAnsi="Times New Roman" w:cs="Times New Roman"/>
          <w:sz w:val="24"/>
          <w:szCs w:val="24"/>
          <w:lang w:eastAsia="tr-TR"/>
        </w:rPr>
      </w:pPr>
    </w:p>
    <w:p w:rsidR="00881D39" w:rsidRDefault="00881D39" w:rsidP="001A6820">
      <w:pPr>
        <w:spacing w:after="0" w:line="360" w:lineRule="auto"/>
        <w:jc w:val="both"/>
        <w:rPr>
          <w:rFonts w:ascii="Times New Roman" w:eastAsia="Times New Roman" w:hAnsi="Times New Roman" w:cs="Times New Roman"/>
          <w:sz w:val="24"/>
          <w:szCs w:val="24"/>
          <w:lang w:eastAsia="tr-TR"/>
        </w:rPr>
      </w:pPr>
    </w:p>
    <w:p w:rsidR="00AB662B" w:rsidRPr="00AB662B" w:rsidRDefault="001A6820" w:rsidP="001A6820">
      <w:pPr>
        <w:spacing w:after="0" w:line="360" w:lineRule="auto"/>
        <w:jc w:val="both"/>
        <w:rPr>
          <w:rFonts w:ascii="Times New Roman" w:eastAsia="Times New Roman" w:hAnsi="Times New Roman" w:cs="Times New Roman"/>
          <w:sz w:val="24"/>
          <w:szCs w:val="24"/>
          <w:lang w:eastAsia="tr-TR"/>
        </w:rPr>
      </w:pPr>
      <w:r>
        <w:rPr>
          <w:noProof/>
          <w:lang w:eastAsia="tr-TR"/>
        </w:rPr>
        <w:drawing>
          <wp:inline distT="0" distB="0" distL="0" distR="0" wp14:anchorId="73251B57" wp14:editId="7196D32F">
            <wp:extent cx="6395936" cy="2796702"/>
            <wp:effectExtent l="0" t="0" r="24130" b="2286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662B" w:rsidRPr="00AB662B" w:rsidRDefault="001A6820" w:rsidP="00AB662B">
      <w:pPr>
        <w:autoSpaceDE w:val="0"/>
        <w:autoSpaceDN w:val="0"/>
        <w:adjustRightInd w:val="0"/>
        <w:spacing w:after="0" w:line="360" w:lineRule="auto"/>
        <w:rPr>
          <w:rFonts w:ascii="Arial" w:eastAsia="Times New Roman" w:hAnsi="Arial" w:cs="Arial"/>
          <w:b/>
          <w:bCs/>
          <w:color w:val="FF0000"/>
          <w:sz w:val="26"/>
          <w:szCs w:val="26"/>
          <w:lang w:eastAsia="tr-TR"/>
        </w:rPr>
      </w:pPr>
      <w:r>
        <w:rPr>
          <w:noProof/>
          <w:lang w:eastAsia="tr-TR"/>
        </w:rPr>
        <w:lastRenderedPageBreak/>
        <w:drawing>
          <wp:inline distT="0" distB="0" distL="0" distR="0" wp14:anchorId="11867110" wp14:editId="73888713">
            <wp:extent cx="6387353" cy="2864224"/>
            <wp:effectExtent l="57150" t="57150" r="52070" b="50800"/>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662B" w:rsidRPr="00AB662B" w:rsidRDefault="00AB662B" w:rsidP="00AB662B">
      <w:pPr>
        <w:autoSpaceDE w:val="0"/>
        <w:autoSpaceDN w:val="0"/>
        <w:adjustRightInd w:val="0"/>
        <w:spacing w:after="0" w:line="360" w:lineRule="auto"/>
        <w:rPr>
          <w:rFonts w:ascii="Arial" w:eastAsia="Times New Roman" w:hAnsi="Arial" w:cs="Arial"/>
          <w:sz w:val="26"/>
          <w:szCs w:val="26"/>
          <w:lang w:eastAsia="tr-TR"/>
        </w:rPr>
      </w:pPr>
      <w:r w:rsidRPr="00AB662B">
        <w:rPr>
          <w:rFonts w:ascii="Arial" w:eastAsia="Times New Roman" w:hAnsi="Arial" w:cs="Arial"/>
          <w:b/>
          <w:bCs/>
          <w:sz w:val="26"/>
          <w:szCs w:val="26"/>
          <w:lang w:eastAsia="tr-TR"/>
        </w:rPr>
        <w:t xml:space="preserve">A. BÜTÇE GİDERLERİ </w:t>
      </w:r>
    </w:p>
    <w:p w:rsidR="00AB662B" w:rsidRPr="00AB662B" w:rsidRDefault="00AB662B" w:rsidP="00AB662B">
      <w:pPr>
        <w:autoSpaceDE w:val="0"/>
        <w:autoSpaceDN w:val="0"/>
        <w:adjustRightInd w:val="0"/>
        <w:spacing w:after="0" w:line="360" w:lineRule="auto"/>
        <w:ind w:firstLine="708"/>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 xml:space="preserve">Yılın ilk altı aylık Belediyemizin bütçe giderleri </w:t>
      </w:r>
      <w:r w:rsidRPr="00AB662B">
        <w:rPr>
          <w:rFonts w:ascii="Times New Roman" w:eastAsia="Times New Roman" w:hAnsi="Times New Roman" w:cs="Times New Roman"/>
          <w:bCs/>
          <w:sz w:val="23"/>
          <w:szCs w:val="23"/>
          <w:lang w:eastAsia="tr-TR"/>
        </w:rPr>
        <w:t>95.881.311,91</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gerçekleşmiştir. </w:t>
      </w: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Pr="00AB662B">
        <w:rPr>
          <w:rFonts w:ascii="Times New Roman" w:eastAsia="Times New Roman" w:hAnsi="Times New Roman" w:cs="Times New Roman"/>
          <w:sz w:val="23"/>
          <w:szCs w:val="23"/>
          <w:lang w:eastAsia="tr-TR"/>
        </w:rPr>
        <w:t>Ekonomik sınıflandırmaya göre 2017 ve 2018 yılları bütçe ödeneklerinin Ocak-Haziran dönemi gerçekleşme oranları aşağıdaki tabloda gösterilmiştir.</w:t>
      </w:r>
    </w:p>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p>
    <w:tbl>
      <w:tblPr>
        <w:tblW w:w="1019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68"/>
        <w:gridCol w:w="1708"/>
        <w:gridCol w:w="1363"/>
        <w:gridCol w:w="1286"/>
        <w:gridCol w:w="1363"/>
        <w:gridCol w:w="1296"/>
        <w:gridCol w:w="1213"/>
        <w:gridCol w:w="1296"/>
      </w:tblGrid>
      <w:tr w:rsidR="00AB662B" w:rsidRPr="00AB662B" w:rsidTr="00104103">
        <w:trPr>
          <w:trHeight w:val="531"/>
        </w:trPr>
        <w:tc>
          <w:tcPr>
            <w:tcW w:w="10193" w:type="dxa"/>
            <w:gridSpan w:val="8"/>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AB662B" w:rsidRPr="00AB662B" w:rsidRDefault="00AB662B" w:rsidP="00AB662B">
            <w:pPr>
              <w:spacing w:after="0" w:line="240" w:lineRule="auto"/>
              <w:jc w:val="center"/>
              <w:rPr>
                <w:rFonts w:ascii="Calibri" w:eastAsia="Times New Roman" w:hAnsi="Calibri" w:cs="Arial TUR"/>
                <w:b/>
                <w:bCs/>
                <w:color w:val="FFFFFF"/>
                <w:sz w:val="18"/>
                <w:szCs w:val="18"/>
                <w:lang w:eastAsia="tr-TR"/>
              </w:rPr>
            </w:pPr>
            <w:r w:rsidRPr="00AB662B">
              <w:rPr>
                <w:rFonts w:ascii="Calibri" w:eastAsia="Times New Roman" w:hAnsi="Calibri" w:cs="Arial TUR"/>
                <w:b/>
                <w:color w:val="FFFFFF"/>
                <w:szCs w:val="18"/>
                <w:lang w:eastAsia="tr-TR"/>
              </w:rPr>
              <w:t>EKONOMİK SINIFLANDIRMAYA GÖRE 2017-2018 YILLARI OCAK-HAZİRAN DÖNEMİ BÜTÇE GİDERLERİ</w:t>
            </w:r>
          </w:p>
        </w:tc>
      </w:tr>
      <w:tr w:rsidR="00104103" w:rsidRPr="00AB662B" w:rsidTr="00104103">
        <w:trPr>
          <w:trHeight w:val="720"/>
        </w:trPr>
        <w:tc>
          <w:tcPr>
            <w:tcW w:w="668" w:type="dxa"/>
            <w:vMerge w:val="restart"/>
            <w:tcBorders>
              <w:top w:val="single" w:sz="8" w:space="0" w:color="FFFFFF"/>
              <w:left w:val="single" w:sz="8" w:space="0" w:color="FFFFFF"/>
              <w:bottom w:val="nil"/>
              <w:right w:val="single" w:sz="24" w:space="0" w:color="FFFFFF"/>
            </w:tcBorders>
            <w:shd w:val="clear" w:color="auto" w:fill="4F81BD"/>
            <w:vAlign w:val="center"/>
            <w:hideMark/>
          </w:tcPr>
          <w:p w:rsidR="00104103" w:rsidRPr="00AB662B" w:rsidRDefault="00104103" w:rsidP="00AB662B">
            <w:pPr>
              <w:spacing w:after="0" w:line="240" w:lineRule="auto"/>
              <w:jc w:val="center"/>
              <w:rPr>
                <w:rFonts w:ascii="Calibri" w:eastAsia="Times New Roman" w:hAnsi="Calibri" w:cs="Arial TUR"/>
                <w:b/>
                <w:bCs/>
                <w:color w:val="FFFFFF"/>
                <w:sz w:val="18"/>
                <w:szCs w:val="18"/>
                <w:lang w:eastAsia="tr-TR"/>
              </w:rPr>
            </w:pPr>
            <w:r w:rsidRPr="00AB662B">
              <w:rPr>
                <w:rFonts w:ascii="Calibri" w:eastAsia="Times New Roman" w:hAnsi="Calibri" w:cs="Arial TUR"/>
                <w:b/>
                <w:color w:val="FFFFFF"/>
                <w:sz w:val="18"/>
                <w:szCs w:val="18"/>
                <w:lang w:eastAsia="tr-TR"/>
              </w:rPr>
              <w:t>EKO.</w:t>
            </w:r>
            <w:r w:rsidRPr="00AB662B">
              <w:rPr>
                <w:rFonts w:ascii="Calibri" w:eastAsia="Times New Roman" w:hAnsi="Calibri" w:cs="Arial TUR"/>
                <w:b/>
                <w:color w:val="FFFFFF"/>
                <w:sz w:val="18"/>
                <w:szCs w:val="18"/>
                <w:lang w:eastAsia="tr-TR"/>
              </w:rPr>
              <w:br/>
              <w:t>KODU</w:t>
            </w:r>
          </w:p>
        </w:tc>
        <w:tc>
          <w:tcPr>
            <w:tcW w:w="1708" w:type="dxa"/>
            <w:vMerge w:val="restart"/>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AÇIKLAMA</w:t>
            </w:r>
          </w:p>
        </w:tc>
        <w:tc>
          <w:tcPr>
            <w:tcW w:w="1363"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04103" w:rsidRPr="00AB662B" w:rsidRDefault="00104103"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2017 YILI</w:t>
            </w:r>
            <w:r w:rsidRPr="00AB662B">
              <w:rPr>
                <w:rFonts w:ascii="Calibri" w:eastAsia="Times New Roman" w:hAnsi="Calibri" w:cs="Arial TUR"/>
                <w:b/>
                <w:bCs/>
                <w:sz w:val="18"/>
                <w:szCs w:val="18"/>
                <w:lang w:eastAsia="tr-TR"/>
              </w:rPr>
              <w:br/>
              <w:t>BÜTÇE ÖDENEĞİ</w:t>
            </w:r>
          </w:p>
        </w:tc>
        <w:tc>
          <w:tcPr>
            <w:tcW w:w="1286"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04103" w:rsidRPr="00AB662B" w:rsidRDefault="00104103"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2017 YILI</w:t>
            </w:r>
            <w:r w:rsidRPr="00AB662B">
              <w:rPr>
                <w:rFonts w:ascii="Calibri" w:eastAsia="Times New Roman" w:hAnsi="Calibri" w:cs="Arial TUR"/>
                <w:b/>
                <w:bCs/>
                <w:sz w:val="18"/>
                <w:szCs w:val="18"/>
                <w:lang w:eastAsia="tr-TR"/>
              </w:rPr>
              <w:br/>
              <w:t>OCAK-HAZ.</w:t>
            </w:r>
            <w:r w:rsidRPr="00AB662B">
              <w:rPr>
                <w:rFonts w:ascii="Calibri" w:eastAsia="Times New Roman" w:hAnsi="Calibri" w:cs="Arial TUR"/>
                <w:b/>
                <w:bCs/>
                <w:sz w:val="18"/>
                <w:szCs w:val="18"/>
                <w:lang w:eastAsia="tr-TR"/>
              </w:rPr>
              <w:br/>
              <w:t>GERŞEKLEŞME</w:t>
            </w:r>
          </w:p>
        </w:tc>
        <w:tc>
          <w:tcPr>
            <w:tcW w:w="1363"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04103" w:rsidRPr="00AB662B" w:rsidRDefault="00104103"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2018 BÜTÇE ÖDENEĞİ</w:t>
            </w:r>
          </w:p>
        </w:tc>
        <w:tc>
          <w:tcPr>
            <w:tcW w:w="1296" w:type="dxa"/>
            <w:vMerge w:val="restart"/>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04103" w:rsidRPr="00AB662B" w:rsidRDefault="00104103"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2018 YILI OCAK-HAZİRAN GERÇEKLŞEME</w:t>
            </w:r>
          </w:p>
        </w:tc>
        <w:tc>
          <w:tcPr>
            <w:tcW w:w="2509" w:type="dxa"/>
            <w:gridSpan w:val="2"/>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104103" w:rsidRPr="00AB662B" w:rsidRDefault="00104103" w:rsidP="00AB662B">
            <w:pPr>
              <w:spacing w:after="0" w:line="240" w:lineRule="auto"/>
              <w:jc w:val="center"/>
              <w:rPr>
                <w:rFonts w:ascii="Calibri" w:eastAsia="Times New Roman" w:hAnsi="Calibri" w:cs="Arial TUR"/>
                <w:b/>
                <w:bCs/>
                <w:sz w:val="18"/>
                <w:szCs w:val="18"/>
                <w:lang w:eastAsia="tr-TR"/>
              </w:rPr>
            </w:pPr>
            <w:r w:rsidRPr="00AB662B">
              <w:rPr>
                <w:rFonts w:ascii="Calibri" w:eastAsia="Times New Roman" w:hAnsi="Calibri" w:cs="Arial TUR"/>
                <w:b/>
                <w:bCs/>
                <w:sz w:val="18"/>
                <w:szCs w:val="18"/>
                <w:lang w:eastAsia="tr-TR"/>
              </w:rPr>
              <w:t>OCAK-HAZİRAN GERÇEKLEŞME ORANI</w:t>
            </w:r>
          </w:p>
        </w:tc>
      </w:tr>
      <w:tr w:rsidR="00104103" w:rsidRPr="00AB662B" w:rsidTr="00104103">
        <w:trPr>
          <w:trHeight w:val="323"/>
        </w:trPr>
        <w:tc>
          <w:tcPr>
            <w:tcW w:w="668" w:type="dxa"/>
            <w:vMerge/>
            <w:tcBorders>
              <w:left w:val="single" w:sz="8" w:space="0" w:color="FFFFFF"/>
              <w:bottom w:val="nil"/>
              <w:right w:val="single" w:sz="24" w:space="0" w:color="FFFFFF"/>
            </w:tcBorders>
            <w:shd w:val="clear" w:color="auto" w:fill="4F81BD"/>
            <w:hideMark/>
          </w:tcPr>
          <w:p w:rsidR="00104103" w:rsidRPr="00AB662B" w:rsidRDefault="00104103" w:rsidP="00AB662B">
            <w:pPr>
              <w:spacing w:after="0" w:line="240" w:lineRule="auto"/>
              <w:rPr>
                <w:rFonts w:ascii="Calibri" w:eastAsia="Times New Roman" w:hAnsi="Calibri" w:cs="Arial TUR"/>
                <w:b/>
                <w:bCs/>
                <w:color w:val="FFFFFF"/>
                <w:sz w:val="18"/>
                <w:szCs w:val="18"/>
                <w:lang w:eastAsia="tr-TR"/>
              </w:rPr>
            </w:pPr>
          </w:p>
        </w:tc>
        <w:tc>
          <w:tcPr>
            <w:tcW w:w="1708" w:type="dxa"/>
            <w:vMerge/>
            <w:shd w:val="clear" w:color="auto" w:fill="D3DFEE"/>
            <w:hideMark/>
          </w:tcPr>
          <w:p w:rsidR="00104103" w:rsidRPr="00AB662B" w:rsidRDefault="00104103" w:rsidP="00AB662B">
            <w:pPr>
              <w:spacing w:after="0" w:line="240" w:lineRule="auto"/>
              <w:rPr>
                <w:rFonts w:ascii="Calibri" w:eastAsia="Times New Roman" w:hAnsi="Calibri" w:cs="Arial TUR"/>
                <w:b/>
                <w:bCs/>
                <w:sz w:val="18"/>
                <w:szCs w:val="18"/>
                <w:lang w:eastAsia="tr-TR"/>
              </w:rPr>
            </w:pPr>
          </w:p>
        </w:tc>
        <w:tc>
          <w:tcPr>
            <w:tcW w:w="1363" w:type="dxa"/>
            <w:vMerge/>
            <w:shd w:val="clear" w:color="auto" w:fill="D3DFEE"/>
            <w:hideMark/>
          </w:tcPr>
          <w:p w:rsidR="00104103" w:rsidRPr="00AB662B" w:rsidRDefault="00104103" w:rsidP="00AB662B">
            <w:pPr>
              <w:spacing w:after="0" w:line="240" w:lineRule="auto"/>
              <w:rPr>
                <w:rFonts w:ascii="Calibri" w:eastAsia="Times New Roman" w:hAnsi="Calibri" w:cs="Arial TUR"/>
                <w:b/>
                <w:bCs/>
                <w:sz w:val="18"/>
                <w:szCs w:val="18"/>
                <w:lang w:eastAsia="tr-TR"/>
              </w:rPr>
            </w:pPr>
          </w:p>
        </w:tc>
        <w:tc>
          <w:tcPr>
            <w:tcW w:w="1286" w:type="dxa"/>
            <w:vMerge/>
            <w:shd w:val="clear" w:color="auto" w:fill="D3DFEE"/>
            <w:hideMark/>
          </w:tcPr>
          <w:p w:rsidR="00104103" w:rsidRPr="00AB662B" w:rsidRDefault="00104103" w:rsidP="00AB662B">
            <w:pPr>
              <w:spacing w:after="0" w:line="240" w:lineRule="auto"/>
              <w:rPr>
                <w:rFonts w:ascii="Calibri" w:eastAsia="Times New Roman" w:hAnsi="Calibri" w:cs="Arial TUR"/>
                <w:b/>
                <w:bCs/>
                <w:sz w:val="18"/>
                <w:szCs w:val="18"/>
                <w:lang w:eastAsia="tr-TR"/>
              </w:rPr>
            </w:pPr>
          </w:p>
        </w:tc>
        <w:tc>
          <w:tcPr>
            <w:tcW w:w="1363" w:type="dxa"/>
            <w:vMerge/>
            <w:shd w:val="clear" w:color="auto" w:fill="D3DFEE"/>
            <w:hideMark/>
          </w:tcPr>
          <w:p w:rsidR="00104103" w:rsidRPr="00AB662B" w:rsidRDefault="00104103" w:rsidP="00AB662B">
            <w:pPr>
              <w:spacing w:after="0" w:line="240" w:lineRule="auto"/>
              <w:rPr>
                <w:rFonts w:ascii="Calibri" w:eastAsia="Times New Roman" w:hAnsi="Calibri" w:cs="Arial TUR"/>
                <w:b/>
                <w:bCs/>
                <w:sz w:val="18"/>
                <w:szCs w:val="18"/>
                <w:lang w:eastAsia="tr-TR"/>
              </w:rPr>
            </w:pPr>
          </w:p>
        </w:tc>
        <w:tc>
          <w:tcPr>
            <w:tcW w:w="1296" w:type="dxa"/>
            <w:vMerge/>
            <w:shd w:val="clear" w:color="auto" w:fill="D3DFEE"/>
            <w:hideMark/>
          </w:tcPr>
          <w:p w:rsidR="00104103" w:rsidRPr="00AB662B" w:rsidRDefault="00104103" w:rsidP="00AB662B">
            <w:pPr>
              <w:spacing w:after="0" w:line="240" w:lineRule="auto"/>
              <w:rPr>
                <w:rFonts w:ascii="Calibri" w:eastAsia="Times New Roman" w:hAnsi="Calibri" w:cs="Arial TUR"/>
                <w:b/>
                <w:bCs/>
                <w:sz w:val="18"/>
                <w:szCs w:val="18"/>
                <w:lang w:eastAsia="tr-TR"/>
              </w:rPr>
            </w:pPr>
          </w:p>
        </w:tc>
        <w:tc>
          <w:tcPr>
            <w:tcW w:w="1213" w:type="dxa"/>
            <w:shd w:val="clear" w:color="auto" w:fill="D3DFEE"/>
            <w:noWrap/>
            <w:vAlign w:val="center"/>
            <w:hideMark/>
          </w:tcPr>
          <w:p w:rsidR="00104103" w:rsidRPr="00AB662B" w:rsidRDefault="00104103" w:rsidP="00AB662B">
            <w:pPr>
              <w:spacing w:after="0" w:line="240" w:lineRule="auto"/>
              <w:jc w:val="center"/>
              <w:rPr>
                <w:rFonts w:ascii="Calibri" w:eastAsia="Times New Roman" w:hAnsi="Calibri" w:cs="Arial TUR"/>
                <w:b/>
                <w:bCs/>
                <w:sz w:val="20"/>
                <w:szCs w:val="18"/>
                <w:lang w:eastAsia="tr-TR"/>
              </w:rPr>
            </w:pPr>
            <w:r w:rsidRPr="00AB662B">
              <w:rPr>
                <w:rFonts w:ascii="Calibri" w:eastAsia="Times New Roman" w:hAnsi="Calibri" w:cs="Arial TUR"/>
                <w:b/>
                <w:bCs/>
                <w:sz w:val="20"/>
                <w:szCs w:val="18"/>
                <w:lang w:eastAsia="tr-TR"/>
              </w:rPr>
              <w:t>2017</w:t>
            </w:r>
          </w:p>
        </w:tc>
        <w:tc>
          <w:tcPr>
            <w:tcW w:w="1296" w:type="dxa"/>
            <w:shd w:val="clear" w:color="auto" w:fill="D3DFEE"/>
            <w:noWrap/>
            <w:vAlign w:val="center"/>
            <w:hideMark/>
          </w:tcPr>
          <w:p w:rsidR="00104103" w:rsidRPr="00AB662B" w:rsidRDefault="00104103" w:rsidP="00AB662B">
            <w:pPr>
              <w:spacing w:after="0" w:line="240" w:lineRule="auto"/>
              <w:jc w:val="center"/>
              <w:rPr>
                <w:rFonts w:ascii="Calibri" w:eastAsia="Times New Roman" w:hAnsi="Calibri" w:cs="Arial TUR"/>
                <w:b/>
                <w:bCs/>
                <w:sz w:val="20"/>
                <w:szCs w:val="18"/>
                <w:lang w:eastAsia="tr-TR"/>
              </w:rPr>
            </w:pPr>
            <w:r w:rsidRPr="00AB662B">
              <w:rPr>
                <w:rFonts w:ascii="Calibri" w:eastAsia="Times New Roman" w:hAnsi="Calibri" w:cs="Arial TUR"/>
                <w:b/>
                <w:bCs/>
                <w:sz w:val="20"/>
                <w:szCs w:val="18"/>
                <w:lang w:eastAsia="tr-TR"/>
              </w:rPr>
              <w:t>2018</w:t>
            </w:r>
          </w:p>
        </w:tc>
      </w:tr>
      <w:tr w:rsidR="00104103" w:rsidRPr="00AB662B" w:rsidTr="00104103">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1</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PERSONEL GİDERLERİ</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32.451.000,00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13.014.766,48</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36.494.000,00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15.473.809,15</w:t>
            </w:r>
          </w:p>
        </w:tc>
        <w:tc>
          <w:tcPr>
            <w:tcW w:w="121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%40,11</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%42,40</w:t>
            </w:r>
          </w:p>
        </w:tc>
      </w:tr>
      <w:tr w:rsidR="00104103" w:rsidRPr="00AB662B" w:rsidTr="00104103">
        <w:trPr>
          <w:trHeight w:val="360"/>
        </w:trPr>
        <w:tc>
          <w:tcPr>
            <w:tcW w:w="668" w:type="dxa"/>
            <w:tcBorders>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2</w:t>
            </w:r>
          </w:p>
        </w:tc>
        <w:tc>
          <w:tcPr>
            <w:tcW w:w="1708" w:type="dxa"/>
            <w:shd w:val="clear" w:color="auto" w:fill="D3DFE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SOSYAL GÜV. KUR. DEV. PRİMİ GİD</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4.726.000,00</w:t>
            </w:r>
          </w:p>
        </w:tc>
        <w:tc>
          <w:tcPr>
            <w:tcW w:w="128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1.990.011,33</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5.680.000,00</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2.268.446,06</w:t>
            </w:r>
          </w:p>
        </w:tc>
        <w:tc>
          <w:tcPr>
            <w:tcW w:w="121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%42,11</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%39,94</w:t>
            </w:r>
          </w:p>
        </w:tc>
      </w:tr>
      <w:tr w:rsidR="00104103" w:rsidRPr="00AB662B" w:rsidTr="00104103">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3</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MAL VE HİZMET ALIM GİDERLERİ</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90.799.000,00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39.703.293,84</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129.387.000,00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58.581.686,61</w:t>
            </w:r>
          </w:p>
        </w:tc>
        <w:tc>
          <w:tcPr>
            <w:tcW w:w="121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%43,73</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%45,28</w:t>
            </w:r>
          </w:p>
        </w:tc>
      </w:tr>
      <w:tr w:rsidR="00104103" w:rsidRPr="00AB662B" w:rsidTr="00104103">
        <w:trPr>
          <w:trHeight w:val="360"/>
        </w:trPr>
        <w:tc>
          <w:tcPr>
            <w:tcW w:w="668" w:type="dxa"/>
            <w:tcBorders>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4</w:t>
            </w:r>
          </w:p>
        </w:tc>
        <w:tc>
          <w:tcPr>
            <w:tcW w:w="1708" w:type="dxa"/>
            <w:shd w:val="clear" w:color="auto" w:fill="D3DFE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FAİZ GİDERLERİ</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525.000,00</w:t>
            </w:r>
          </w:p>
        </w:tc>
        <w:tc>
          <w:tcPr>
            <w:tcW w:w="128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695.317,92</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13" w:type="dxa"/>
            <w:shd w:val="clear" w:color="auto" w:fill="D3DFEE"/>
            <w:noWrap/>
            <w:vAlign w:val="center"/>
            <w:hideMark/>
          </w:tcPr>
          <w:p w:rsidR="00104103" w:rsidRPr="00AB662B" w:rsidRDefault="00104103" w:rsidP="00C54F1C">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%132,44</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p>
        </w:tc>
      </w:tr>
      <w:tr w:rsidR="00104103" w:rsidRPr="00AB662B" w:rsidTr="00104103">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5</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CARİ TRANSFERLER</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6.365.000,00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4.757.151,71</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7.876.000,00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3.517.136,39</w:t>
            </w:r>
          </w:p>
        </w:tc>
        <w:tc>
          <w:tcPr>
            <w:tcW w:w="121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%74,74</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%44,66</w:t>
            </w:r>
          </w:p>
        </w:tc>
      </w:tr>
      <w:tr w:rsidR="00104103" w:rsidRPr="00AB662B" w:rsidTr="00104103">
        <w:trPr>
          <w:trHeight w:val="360"/>
        </w:trPr>
        <w:tc>
          <w:tcPr>
            <w:tcW w:w="668" w:type="dxa"/>
            <w:tcBorders>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6</w:t>
            </w:r>
          </w:p>
        </w:tc>
        <w:tc>
          <w:tcPr>
            <w:tcW w:w="1708" w:type="dxa"/>
            <w:shd w:val="clear" w:color="auto" w:fill="D3DFE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SERMAYE GİDERLERİ</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52.134.000,00</w:t>
            </w:r>
          </w:p>
        </w:tc>
        <w:tc>
          <w:tcPr>
            <w:tcW w:w="128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9.461.515,23</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57.563.000,00</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16.040.233,70</w:t>
            </w:r>
          </w:p>
        </w:tc>
        <w:tc>
          <w:tcPr>
            <w:tcW w:w="121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%18,15</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%27,87</w:t>
            </w:r>
          </w:p>
        </w:tc>
      </w:tr>
      <w:tr w:rsidR="00104103" w:rsidRPr="00AB662B" w:rsidTr="00104103">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7</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SERMAYE TRANSFERLERİ</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1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r>
      <w:tr w:rsidR="00104103" w:rsidRPr="00AB662B" w:rsidTr="00104103">
        <w:trPr>
          <w:trHeight w:val="360"/>
        </w:trPr>
        <w:tc>
          <w:tcPr>
            <w:tcW w:w="668" w:type="dxa"/>
            <w:tcBorders>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8</w:t>
            </w:r>
          </w:p>
        </w:tc>
        <w:tc>
          <w:tcPr>
            <w:tcW w:w="1708" w:type="dxa"/>
            <w:shd w:val="clear" w:color="auto" w:fill="D3DFE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BORÇ VERME</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8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1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r>
      <w:tr w:rsidR="00104103" w:rsidRPr="00AB662B" w:rsidTr="00104103">
        <w:trPr>
          <w:trHeight w:val="360"/>
        </w:trPr>
        <w:tc>
          <w:tcPr>
            <w:tcW w:w="668" w:type="dxa"/>
            <w:tcBorders>
              <w:top w:val="single" w:sz="8" w:space="0" w:color="FFFFFF"/>
              <w:left w:val="single" w:sz="8" w:space="0" w:color="FFFFFF"/>
              <w:bottom w:val="nil"/>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800000"/>
                <w:sz w:val="18"/>
                <w:szCs w:val="18"/>
                <w:lang w:eastAsia="tr-TR"/>
              </w:rPr>
            </w:pPr>
            <w:r w:rsidRPr="00AB662B">
              <w:rPr>
                <w:rFonts w:ascii="Calibri" w:eastAsia="Times New Roman" w:hAnsi="Calibri" w:cs="Arial TUR"/>
                <w:b/>
                <w:color w:val="800000"/>
                <w:sz w:val="18"/>
                <w:szCs w:val="18"/>
                <w:lang w:eastAsia="tr-TR"/>
              </w:rPr>
              <w:t>9</w:t>
            </w:r>
          </w:p>
        </w:tc>
        <w:tc>
          <w:tcPr>
            <w:tcW w:w="1708"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AB662B">
            <w:pPr>
              <w:spacing w:after="0" w:line="240" w:lineRule="auto"/>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YEDEK ÖDENEKLER</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12.000.000,00</w:t>
            </w:r>
          </w:p>
        </w:tc>
        <w:tc>
          <w:tcPr>
            <w:tcW w:w="128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36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15.000.000,00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Pr>
                <w:rFonts w:ascii="Calibri" w:eastAsia="Times New Roman" w:hAnsi="Calibri" w:cs="Arial TUR"/>
                <w:b/>
                <w:bCs/>
                <w:color w:val="800000"/>
                <w:sz w:val="16"/>
                <w:szCs w:val="16"/>
                <w:lang w:eastAsia="tr-TR"/>
              </w:rPr>
              <w:t>0,00</w:t>
            </w:r>
          </w:p>
        </w:tc>
        <w:tc>
          <w:tcPr>
            <w:tcW w:w="1213"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c>
          <w:tcPr>
            <w:tcW w:w="129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104103" w:rsidRPr="00AB662B" w:rsidRDefault="00104103" w:rsidP="009923E5">
            <w:pPr>
              <w:spacing w:after="0" w:line="240" w:lineRule="auto"/>
              <w:jc w:val="center"/>
              <w:rPr>
                <w:rFonts w:ascii="Calibri" w:eastAsia="Times New Roman" w:hAnsi="Calibri" w:cs="Arial TUR"/>
                <w:b/>
                <w:bCs/>
                <w:color w:val="800000"/>
                <w:sz w:val="16"/>
                <w:szCs w:val="16"/>
                <w:lang w:eastAsia="tr-TR"/>
              </w:rPr>
            </w:pPr>
            <w:r w:rsidRPr="00AB662B">
              <w:rPr>
                <w:rFonts w:ascii="Calibri" w:eastAsia="Times New Roman" w:hAnsi="Calibri" w:cs="Arial TUR"/>
                <w:b/>
                <w:bCs/>
                <w:color w:val="800000"/>
                <w:sz w:val="16"/>
                <w:szCs w:val="16"/>
                <w:lang w:eastAsia="tr-TR"/>
              </w:rPr>
              <w:t>%0,00</w:t>
            </w:r>
          </w:p>
        </w:tc>
      </w:tr>
      <w:tr w:rsidR="00104103" w:rsidRPr="00AB662B" w:rsidTr="00104103">
        <w:trPr>
          <w:trHeight w:val="465"/>
        </w:trPr>
        <w:tc>
          <w:tcPr>
            <w:tcW w:w="668" w:type="dxa"/>
            <w:tcBorders>
              <w:left w:val="single" w:sz="8" w:space="0" w:color="FFFFFF"/>
              <w:right w:val="single" w:sz="24" w:space="0" w:color="FFFFFF"/>
            </w:tcBorders>
            <w:shd w:val="clear" w:color="auto" w:fill="4F81BD"/>
            <w:noWrap/>
            <w:vAlign w:val="center"/>
            <w:hideMark/>
          </w:tcPr>
          <w:p w:rsidR="00104103" w:rsidRPr="00AB662B" w:rsidRDefault="00104103" w:rsidP="00AB662B">
            <w:pPr>
              <w:spacing w:after="0" w:line="240" w:lineRule="auto"/>
              <w:jc w:val="center"/>
              <w:rPr>
                <w:rFonts w:ascii="Calibri" w:eastAsia="Times New Roman" w:hAnsi="Calibri" w:cs="Arial TUR"/>
                <w:b/>
                <w:bCs/>
                <w:color w:val="FFFFFF"/>
                <w:sz w:val="18"/>
                <w:szCs w:val="18"/>
                <w:lang w:eastAsia="tr-TR"/>
              </w:rPr>
            </w:pPr>
          </w:p>
        </w:tc>
        <w:tc>
          <w:tcPr>
            <w:tcW w:w="1708" w:type="dxa"/>
            <w:shd w:val="clear" w:color="auto" w:fill="D3DFEE"/>
            <w:noWrap/>
            <w:vAlign w:val="center"/>
            <w:hideMark/>
          </w:tcPr>
          <w:p w:rsidR="00104103" w:rsidRPr="00AB662B" w:rsidRDefault="00104103" w:rsidP="00AB662B">
            <w:pPr>
              <w:spacing w:after="0" w:line="240" w:lineRule="auto"/>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T O P L A M</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199.000.000,00</w:t>
            </w:r>
          </w:p>
        </w:tc>
        <w:tc>
          <w:tcPr>
            <w:tcW w:w="128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sz w:val="16"/>
                <w:szCs w:val="16"/>
                <w:lang w:eastAsia="tr-TR"/>
              </w:rPr>
            </w:pPr>
            <w:r>
              <w:rPr>
                <w:rFonts w:ascii="Calibri" w:eastAsia="Times New Roman" w:hAnsi="Calibri" w:cs="Arial TUR"/>
                <w:b/>
                <w:bCs/>
                <w:sz w:val="16"/>
                <w:szCs w:val="16"/>
                <w:lang w:eastAsia="tr-TR"/>
              </w:rPr>
              <w:t>69.622.056,5</w:t>
            </w:r>
            <w:r w:rsidRPr="00AB662B">
              <w:rPr>
                <w:rFonts w:ascii="Calibri" w:eastAsia="Times New Roman" w:hAnsi="Calibri" w:cs="Arial TUR"/>
                <w:b/>
                <w:bCs/>
                <w:sz w:val="16"/>
                <w:szCs w:val="16"/>
                <w:lang w:eastAsia="tr-TR"/>
              </w:rPr>
              <w:t>1</w:t>
            </w:r>
          </w:p>
        </w:tc>
        <w:tc>
          <w:tcPr>
            <w:tcW w:w="136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252.000.000,00</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95.881.311,91</w:t>
            </w:r>
          </w:p>
        </w:tc>
        <w:tc>
          <w:tcPr>
            <w:tcW w:w="1213"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%34,99</w:t>
            </w:r>
          </w:p>
        </w:tc>
        <w:tc>
          <w:tcPr>
            <w:tcW w:w="1296" w:type="dxa"/>
            <w:shd w:val="clear" w:color="auto" w:fill="D3DFEE"/>
            <w:noWrap/>
            <w:vAlign w:val="center"/>
            <w:hideMark/>
          </w:tcPr>
          <w:p w:rsidR="00104103" w:rsidRPr="00AB662B" w:rsidRDefault="00104103" w:rsidP="009923E5">
            <w:pPr>
              <w:spacing w:after="0" w:line="240" w:lineRule="auto"/>
              <w:jc w:val="center"/>
              <w:rPr>
                <w:rFonts w:ascii="Calibri" w:eastAsia="Times New Roman" w:hAnsi="Calibri" w:cs="Arial TUR"/>
                <w:b/>
                <w:bCs/>
                <w:sz w:val="16"/>
                <w:szCs w:val="16"/>
                <w:lang w:eastAsia="tr-TR"/>
              </w:rPr>
            </w:pPr>
            <w:r w:rsidRPr="00AB662B">
              <w:rPr>
                <w:rFonts w:ascii="Calibri" w:eastAsia="Times New Roman" w:hAnsi="Calibri" w:cs="Arial TUR"/>
                <w:b/>
                <w:bCs/>
                <w:sz w:val="16"/>
                <w:szCs w:val="16"/>
                <w:lang w:eastAsia="tr-TR"/>
              </w:rPr>
              <w:t>%38,05</w:t>
            </w:r>
          </w:p>
        </w:tc>
      </w:tr>
    </w:tbl>
    <w:p w:rsidR="00AB662B" w:rsidRPr="00AB662B" w:rsidRDefault="00AB662B" w:rsidP="00AB662B">
      <w:pPr>
        <w:spacing w:after="0" w:line="360" w:lineRule="auto"/>
        <w:jc w:val="both"/>
        <w:rPr>
          <w:rFonts w:ascii="Times New Roman" w:eastAsia="Times New Roman" w:hAnsi="Times New Roman" w:cs="Times New Roman"/>
          <w:color w:val="FF0000"/>
          <w:sz w:val="24"/>
          <w:szCs w:val="24"/>
          <w:lang w:eastAsia="tr-TR"/>
        </w:rPr>
      </w:pPr>
    </w:p>
    <w:p w:rsidR="00AB662B" w:rsidRPr="00AB662B" w:rsidRDefault="00AB662B" w:rsidP="00AB662B">
      <w:pPr>
        <w:spacing w:after="0" w:line="360" w:lineRule="auto"/>
        <w:jc w:val="both"/>
        <w:rPr>
          <w:rFonts w:ascii="Times New Roman" w:eastAsia="Times New Roman" w:hAnsi="Times New Roman" w:cs="Times New Roman"/>
          <w:noProof/>
          <w:sz w:val="24"/>
          <w:szCs w:val="24"/>
          <w:lang w:eastAsia="tr-TR"/>
        </w:rPr>
      </w:pPr>
    </w:p>
    <w:p w:rsidR="00AB662B" w:rsidRPr="00AB662B" w:rsidRDefault="00E30575" w:rsidP="00AB662B">
      <w:pPr>
        <w:spacing w:after="0" w:line="360" w:lineRule="auto"/>
        <w:jc w:val="both"/>
        <w:rPr>
          <w:rFonts w:ascii="Times New Roman" w:eastAsia="Times New Roman" w:hAnsi="Times New Roman" w:cs="Times New Roman"/>
          <w:noProof/>
          <w:sz w:val="24"/>
          <w:szCs w:val="24"/>
          <w:lang w:eastAsia="tr-TR"/>
        </w:rPr>
      </w:pPr>
      <w:r>
        <w:rPr>
          <w:noProof/>
          <w:lang w:eastAsia="tr-TR"/>
        </w:rPr>
        <w:lastRenderedPageBreak/>
        <w:drawing>
          <wp:inline distT="0" distB="0" distL="0" distR="0" wp14:anchorId="3EC1430D" wp14:editId="29133FA7">
            <wp:extent cx="6299200" cy="3412565"/>
            <wp:effectExtent l="57150" t="38100" r="63500" b="7366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AB662B">
        <w:rPr>
          <w:rFonts w:ascii="Times New Roman" w:eastAsia="Times New Roman" w:hAnsi="Times New Roman" w:cs="Times New Roman"/>
          <w:color w:val="FF0000"/>
          <w:sz w:val="23"/>
          <w:szCs w:val="23"/>
          <w:lang w:eastAsia="tr-TR"/>
        </w:rPr>
        <w:tab/>
      </w:r>
    </w:p>
    <w:p w:rsidR="00AB662B" w:rsidRDefault="00AB662B" w:rsidP="00AB662B">
      <w:pPr>
        <w:spacing w:after="0" w:line="360" w:lineRule="auto"/>
        <w:ind w:firstLine="708"/>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Ekonomik koda göre 2017 ve 2018 yılı bütçe başlangıç ödenekleri ve ilk altı aylık gerçekleşme tutarlarının toplam bütçe ve toplam gerçekleşme içindeki payları aşağıdaki tabloda gösterilmiştir.</w:t>
      </w:r>
    </w:p>
    <w:p w:rsidR="00881D39" w:rsidRPr="00AB662B" w:rsidRDefault="00881D39" w:rsidP="00AB662B">
      <w:pPr>
        <w:spacing w:after="0" w:line="360" w:lineRule="auto"/>
        <w:ind w:firstLine="708"/>
        <w:jc w:val="both"/>
        <w:rPr>
          <w:rFonts w:ascii="Times New Roman" w:eastAsia="Times New Roman" w:hAnsi="Times New Roman" w:cs="Times New Roman"/>
          <w:sz w:val="23"/>
          <w:szCs w:val="23"/>
          <w:lang w:eastAsia="tr-TR"/>
        </w:rPr>
      </w:pPr>
    </w:p>
    <w:tbl>
      <w:tblPr>
        <w:tblW w:w="10217" w:type="dxa"/>
        <w:tblInd w:w="55" w:type="dxa"/>
        <w:tblLayout w:type="fixed"/>
        <w:tblCellMar>
          <w:left w:w="70" w:type="dxa"/>
          <w:right w:w="70" w:type="dxa"/>
        </w:tblCellMar>
        <w:tblLook w:val="04A0" w:firstRow="1" w:lastRow="0" w:firstColumn="1" w:lastColumn="0" w:noHBand="0" w:noVBand="1"/>
      </w:tblPr>
      <w:tblGrid>
        <w:gridCol w:w="397"/>
        <w:gridCol w:w="1899"/>
        <w:gridCol w:w="1226"/>
        <w:gridCol w:w="595"/>
        <w:gridCol w:w="1427"/>
        <w:gridCol w:w="708"/>
        <w:gridCol w:w="1276"/>
        <w:gridCol w:w="709"/>
        <w:gridCol w:w="1287"/>
        <w:gridCol w:w="693"/>
      </w:tblGrid>
      <w:tr w:rsidR="00AB662B" w:rsidRPr="00AB662B" w:rsidTr="00912338">
        <w:trPr>
          <w:trHeight w:val="762"/>
        </w:trPr>
        <w:tc>
          <w:tcPr>
            <w:tcW w:w="10217" w:type="dxa"/>
            <w:gridSpan w:val="10"/>
            <w:tcBorders>
              <w:top w:val="single" w:sz="8" w:space="0" w:color="FFFFFF"/>
              <w:left w:val="single" w:sz="8" w:space="0" w:color="FFFFFF"/>
              <w:bottom w:val="single" w:sz="12" w:space="0" w:color="FFFFFF"/>
              <w:right w:val="nil"/>
            </w:tcBorders>
            <w:shd w:val="clear" w:color="000000" w:fill="4F81BD"/>
            <w:vAlign w:val="center"/>
            <w:hideMark/>
          </w:tcPr>
          <w:p w:rsidR="00AB662B" w:rsidRPr="00AB662B" w:rsidRDefault="00AB662B" w:rsidP="00AB662B">
            <w:pPr>
              <w:spacing w:after="0" w:line="240" w:lineRule="auto"/>
              <w:jc w:val="center"/>
              <w:rPr>
                <w:rFonts w:ascii="Arial" w:eastAsia="Times New Roman" w:hAnsi="Arial" w:cs="Arial"/>
                <w:b/>
                <w:bCs/>
                <w:color w:val="000000"/>
                <w:sz w:val="20"/>
                <w:szCs w:val="20"/>
                <w:lang w:eastAsia="tr-TR"/>
              </w:rPr>
            </w:pPr>
            <w:bookmarkStart w:id="0" w:name="_GoBack"/>
            <w:bookmarkEnd w:id="0"/>
            <w:r w:rsidRPr="00AB662B">
              <w:rPr>
                <w:rFonts w:ascii="Arial" w:eastAsia="Times New Roman" w:hAnsi="Arial" w:cs="Arial"/>
                <w:b/>
                <w:bCs/>
                <w:color w:val="000000"/>
                <w:sz w:val="20"/>
                <w:lang w:eastAsia="tr-TR"/>
              </w:rPr>
              <w:t>2017-2018 Yılı Toplam Bütçe Ödenekleri ve İlk Altı Aylık Toplam Gerçekleşme Tutarlarının Ekonomik koda göre bütçe başlangıç ödenekleri ve Gerçekleşme Tutarı İçindeki Payları</w:t>
            </w:r>
          </w:p>
        </w:tc>
      </w:tr>
      <w:tr w:rsidR="00AB662B" w:rsidRPr="00AB662B" w:rsidTr="00912338">
        <w:trPr>
          <w:trHeight w:val="329"/>
        </w:trPr>
        <w:tc>
          <w:tcPr>
            <w:tcW w:w="10217" w:type="dxa"/>
            <w:gridSpan w:val="10"/>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000000"/>
                <w:lang w:eastAsia="tr-TR"/>
              </w:rPr>
            </w:pPr>
            <w:r w:rsidRPr="00AB662B">
              <w:rPr>
                <w:rFonts w:ascii="Arial" w:eastAsia="Times New Roman" w:hAnsi="Arial" w:cs="Arial"/>
                <w:b/>
                <w:bCs/>
                <w:color w:val="000000"/>
                <w:lang w:eastAsia="tr-TR"/>
              </w:rPr>
              <w:t xml:space="preserve">EKONOMİK SINIFLANDIRMAYA </w:t>
            </w:r>
            <w:proofErr w:type="gramStart"/>
            <w:r w:rsidRPr="00AB662B">
              <w:rPr>
                <w:rFonts w:ascii="Arial" w:eastAsia="Times New Roman" w:hAnsi="Arial" w:cs="Arial"/>
                <w:b/>
                <w:bCs/>
                <w:color w:val="000000"/>
                <w:lang w:eastAsia="tr-TR"/>
              </w:rPr>
              <w:t>GÖRE  BÜTÇE</w:t>
            </w:r>
            <w:proofErr w:type="gramEnd"/>
            <w:r w:rsidRPr="00AB662B">
              <w:rPr>
                <w:rFonts w:ascii="Arial" w:eastAsia="Times New Roman" w:hAnsi="Arial" w:cs="Arial"/>
                <w:b/>
                <w:bCs/>
                <w:color w:val="000000"/>
                <w:lang w:eastAsia="tr-TR"/>
              </w:rPr>
              <w:t xml:space="preserve"> VE GERÇEKLEŞMELER</w:t>
            </w:r>
          </w:p>
        </w:tc>
      </w:tr>
      <w:tr w:rsidR="00AB662B" w:rsidRPr="00AB662B" w:rsidTr="00912338">
        <w:trPr>
          <w:trHeight w:val="314"/>
        </w:trPr>
        <w:tc>
          <w:tcPr>
            <w:tcW w:w="397"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FFFFFF"/>
                <w:sz w:val="16"/>
                <w:szCs w:val="16"/>
                <w:lang w:eastAsia="tr-TR"/>
              </w:rPr>
            </w:pPr>
            <w:r w:rsidRPr="00AB662B">
              <w:rPr>
                <w:rFonts w:ascii="Arial" w:eastAsia="Times New Roman" w:hAnsi="Arial" w:cs="Arial"/>
                <w:b/>
                <w:bCs/>
                <w:color w:val="FFFFFF"/>
                <w:sz w:val="16"/>
                <w:szCs w:val="16"/>
                <w:lang w:eastAsia="tr-TR"/>
              </w:rPr>
              <w:t>EKONOMİK KODU</w:t>
            </w:r>
          </w:p>
        </w:tc>
        <w:tc>
          <w:tcPr>
            <w:tcW w:w="1899" w:type="dxa"/>
            <w:vMerge w:val="restart"/>
            <w:tcBorders>
              <w:top w:val="nil"/>
              <w:left w:val="single" w:sz="12" w:space="0" w:color="FFFFFF"/>
              <w:bottom w:val="nil"/>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AÇIKLAMA</w:t>
            </w:r>
          </w:p>
        </w:tc>
        <w:tc>
          <w:tcPr>
            <w:tcW w:w="3956" w:type="dxa"/>
            <w:gridSpan w:val="4"/>
            <w:tcBorders>
              <w:top w:val="single" w:sz="8" w:space="0" w:color="FFFFFF"/>
              <w:left w:val="nil"/>
              <w:bottom w:val="single" w:sz="8" w:space="0" w:color="FFFFFF"/>
              <w:right w:val="nil"/>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2017 MALİ YILI</w:t>
            </w:r>
          </w:p>
        </w:tc>
        <w:tc>
          <w:tcPr>
            <w:tcW w:w="3965" w:type="dxa"/>
            <w:gridSpan w:val="4"/>
            <w:tcBorders>
              <w:top w:val="single" w:sz="8" w:space="0" w:color="FFFFFF"/>
              <w:left w:val="single" w:sz="8" w:space="0" w:color="FFFFFF"/>
              <w:bottom w:val="single" w:sz="8" w:space="0" w:color="FFFFFF"/>
              <w:right w:val="nil"/>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2018 MALİ YILI</w:t>
            </w:r>
          </w:p>
        </w:tc>
      </w:tr>
      <w:tr w:rsidR="00912338" w:rsidRPr="00AB662B" w:rsidTr="00912338">
        <w:trPr>
          <w:trHeight w:val="1206"/>
        </w:trPr>
        <w:tc>
          <w:tcPr>
            <w:tcW w:w="397" w:type="dxa"/>
            <w:vMerge/>
            <w:tcBorders>
              <w:top w:val="nil"/>
              <w:left w:val="single" w:sz="8" w:space="0" w:color="FFFFFF"/>
              <w:bottom w:val="single" w:sz="8" w:space="0" w:color="FFFFFF"/>
              <w:right w:val="single" w:sz="12" w:space="0" w:color="FFFFFF"/>
            </w:tcBorders>
            <w:vAlign w:val="center"/>
            <w:hideMark/>
          </w:tcPr>
          <w:p w:rsidR="00AB662B" w:rsidRPr="00AB662B" w:rsidRDefault="00AB662B" w:rsidP="00AB662B">
            <w:pPr>
              <w:spacing w:after="0" w:line="240" w:lineRule="auto"/>
              <w:rPr>
                <w:rFonts w:ascii="Arial" w:eastAsia="Times New Roman" w:hAnsi="Arial" w:cs="Arial"/>
                <w:b/>
                <w:bCs/>
                <w:color w:val="FFFFFF"/>
                <w:sz w:val="16"/>
                <w:szCs w:val="16"/>
                <w:lang w:eastAsia="tr-TR"/>
              </w:rPr>
            </w:pPr>
          </w:p>
        </w:tc>
        <w:tc>
          <w:tcPr>
            <w:tcW w:w="1899" w:type="dxa"/>
            <w:vMerge/>
            <w:tcBorders>
              <w:top w:val="nil"/>
              <w:left w:val="single" w:sz="12" w:space="0" w:color="FFFFFF"/>
              <w:bottom w:val="nil"/>
              <w:right w:val="single" w:sz="8" w:space="0" w:color="FFFFFF"/>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1226"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BÜTÇE ÖDENEĞİ</w:t>
            </w:r>
          </w:p>
        </w:tc>
        <w:tc>
          <w:tcPr>
            <w:tcW w:w="595"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427"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GERÇEKLEŞME OCAK - HAZİRAN</w:t>
            </w:r>
          </w:p>
        </w:tc>
        <w:tc>
          <w:tcPr>
            <w:tcW w:w="708"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276"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color w:val="000000"/>
                <w:sz w:val="16"/>
                <w:szCs w:val="16"/>
                <w:lang w:eastAsia="tr-TR"/>
              </w:rPr>
            </w:pPr>
            <w:r w:rsidRPr="00AB662B">
              <w:rPr>
                <w:rFonts w:ascii="Arial" w:eastAsia="Times New Roman" w:hAnsi="Arial" w:cs="Arial"/>
                <w:b/>
                <w:color w:val="000000"/>
                <w:sz w:val="16"/>
                <w:szCs w:val="16"/>
                <w:lang w:eastAsia="tr-TR"/>
              </w:rPr>
              <w:t>BÜTÇE ÖDENEĞİ</w:t>
            </w:r>
          </w:p>
        </w:tc>
        <w:tc>
          <w:tcPr>
            <w:tcW w:w="709"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287"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GERÇEKLEŞME OCAK-HAZİRAN</w:t>
            </w:r>
          </w:p>
        </w:tc>
        <w:tc>
          <w:tcPr>
            <w:tcW w:w="693"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r>
      <w:tr w:rsidR="00912338" w:rsidRPr="00AB662B" w:rsidTr="00912338">
        <w:trPr>
          <w:trHeight w:val="314"/>
        </w:trPr>
        <w:tc>
          <w:tcPr>
            <w:tcW w:w="397" w:type="dxa"/>
            <w:tcBorders>
              <w:top w:val="nil"/>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1</w:t>
            </w:r>
          </w:p>
        </w:tc>
        <w:tc>
          <w:tcPr>
            <w:tcW w:w="189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PERSONEL GİDERLERİ</w:t>
            </w:r>
          </w:p>
        </w:tc>
        <w:tc>
          <w:tcPr>
            <w:tcW w:w="122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32.451.000,00</w:t>
            </w:r>
          </w:p>
        </w:tc>
        <w:tc>
          <w:tcPr>
            <w:tcW w:w="595"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16,31</w:t>
            </w:r>
          </w:p>
        </w:tc>
        <w:tc>
          <w:tcPr>
            <w:tcW w:w="14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13.014.766,48</w:t>
            </w:r>
          </w:p>
        </w:tc>
        <w:tc>
          <w:tcPr>
            <w:tcW w:w="708"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18,69</w:t>
            </w:r>
          </w:p>
        </w:tc>
        <w:tc>
          <w:tcPr>
            <w:tcW w:w="127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36.494.000,00</w:t>
            </w:r>
          </w:p>
        </w:tc>
        <w:tc>
          <w:tcPr>
            <w:tcW w:w="70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14,48</w:t>
            </w:r>
          </w:p>
        </w:tc>
        <w:tc>
          <w:tcPr>
            <w:tcW w:w="128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15.473.809,15</w:t>
            </w:r>
          </w:p>
        </w:tc>
        <w:tc>
          <w:tcPr>
            <w:tcW w:w="69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9923E5" w:rsidP="00AB662B">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16,14</w:t>
            </w:r>
          </w:p>
        </w:tc>
      </w:tr>
      <w:tr w:rsidR="00912338" w:rsidRPr="00AB662B" w:rsidTr="00912338">
        <w:trPr>
          <w:trHeight w:val="493"/>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2</w:t>
            </w:r>
          </w:p>
        </w:tc>
        <w:tc>
          <w:tcPr>
            <w:tcW w:w="1899" w:type="dxa"/>
            <w:tcBorders>
              <w:top w:val="nil"/>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SOSYAL GÜV. KUR. DEV. PRİMİ GİDERLERİ</w:t>
            </w:r>
          </w:p>
        </w:tc>
        <w:tc>
          <w:tcPr>
            <w:tcW w:w="122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4.726.000,00</w:t>
            </w:r>
          </w:p>
        </w:tc>
        <w:tc>
          <w:tcPr>
            <w:tcW w:w="595"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2,37</w:t>
            </w:r>
          </w:p>
        </w:tc>
        <w:tc>
          <w:tcPr>
            <w:tcW w:w="14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1.990.011,33</w:t>
            </w:r>
          </w:p>
        </w:tc>
        <w:tc>
          <w:tcPr>
            <w:tcW w:w="708"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2,86</w:t>
            </w:r>
          </w:p>
        </w:tc>
        <w:tc>
          <w:tcPr>
            <w:tcW w:w="127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5.680.000,00</w:t>
            </w:r>
          </w:p>
        </w:tc>
        <w:tc>
          <w:tcPr>
            <w:tcW w:w="70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2,25</w:t>
            </w:r>
          </w:p>
        </w:tc>
        <w:tc>
          <w:tcPr>
            <w:tcW w:w="128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2.268.446,06</w:t>
            </w:r>
          </w:p>
        </w:tc>
        <w:tc>
          <w:tcPr>
            <w:tcW w:w="69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9923E5" w:rsidP="00AB662B">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2,37</w:t>
            </w:r>
          </w:p>
        </w:tc>
      </w:tr>
      <w:tr w:rsidR="00912338" w:rsidRPr="00AB662B" w:rsidTr="00912338">
        <w:trPr>
          <w:trHeight w:val="493"/>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3</w:t>
            </w:r>
          </w:p>
        </w:tc>
        <w:tc>
          <w:tcPr>
            <w:tcW w:w="189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MAL VE HİZMET ALIM GİDERLERİ</w:t>
            </w:r>
          </w:p>
        </w:tc>
        <w:tc>
          <w:tcPr>
            <w:tcW w:w="122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90.799.000,00</w:t>
            </w:r>
          </w:p>
        </w:tc>
        <w:tc>
          <w:tcPr>
            <w:tcW w:w="595"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45,63</w:t>
            </w:r>
          </w:p>
        </w:tc>
        <w:tc>
          <w:tcPr>
            <w:tcW w:w="14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9923E5"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39.703.293,8</w:t>
            </w:r>
            <w:r w:rsidR="00AB662B" w:rsidRPr="00AB662B">
              <w:rPr>
                <w:rFonts w:ascii="Calibri" w:eastAsia="Times New Roman" w:hAnsi="Calibri" w:cs="Times New Roman"/>
                <w:b/>
                <w:bCs/>
                <w:color w:val="8E0000"/>
                <w:sz w:val="16"/>
                <w:szCs w:val="16"/>
                <w:lang w:eastAsia="tr-TR"/>
              </w:rPr>
              <w:t>4</w:t>
            </w:r>
          </w:p>
        </w:tc>
        <w:tc>
          <w:tcPr>
            <w:tcW w:w="708"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57,03</w:t>
            </w:r>
          </w:p>
        </w:tc>
        <w:tc>
          <w:tcPr>
            <w:tcW w:w="127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129.387.000,00</w:t>
            </w:r>
          </w:p>
        </w:tc>
        <w:tc>
          <w:tcPr>
            <w:tcW w:w="70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51,34</w:t>
            </w:r>
          </w:p>
        </w:tc>
        <w:tc>
          <w:tcPr>
            <w:tcW w:w="128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58.581.686,61</w:t>
            </w:r>
          </w:p>
        </w:tc>
        <w:tc>
          <w:tcPr>
            <w:tcW w:w="69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9923E5" w:rsidP="00AB662B">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61,10</w:t>
            </w:r>
          </w:p>
        </w:tc>
      </w:tr>
      <w:tr w:rsidR="00912338" w:rsidRPr="00AB662B" w:rsidTr="00912338">
        <w:trPr>
          <w:trHeight w:val="314"/>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4</w:t>
            </w:r>
          </w:p>
        </w:tc>
        <w:tc>
          <w:tcPr>
            <w:tcW w:w="1899" w:type="dxa"/>
            <w:tcBorders>
              <w:top w:val="nil"/>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FAİZ GİDERLERİ</w:t>
            </w:r>
          </w:p>
        </w:tc>
        <w:tc>
          <w:tcPr>
            <w:tcW w:w="122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525.000,00</w:t>
            </w:r>
          </w:p>
        </w:tc>
        <w:tc>
          <w:tcPr>
            <w:tcW w:w="595"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0,26</w:t>
            </w:r>
          </w:p>
        </w:tc>
        <w:tc>
          <w:tcPr>
            <w:tcW w:w="14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695.317,92</w:t>
            </w:r>
          </w:p>
        </w:tc>
        <w:tc>
          <w:tcPr>
            <w:tcW w:w="708"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1,00</w:t>
            </w:r>
          </w:p>
        </w:tc>
        <w:tc>
          <w:tcPr>
            <w:tcW w:w="127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70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128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69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r>
      <w:tr w:rsidR="00912338" w:rsidRPr="00AB662B" w:rsidTr="00912338">
        <w:trPr>
          <w:trHeight w:val="314"/>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5</w:t>
            </w:r>
          </w:p>
        </w:tc>
        <w:tc>
          <w:tcPr>
            <w:tcW w:w="189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CARİ TRANSFERLER</w:t>
            </w:r>
          </w:p>
        </w:tc>
        <w:tc>
          <w:tcPr>
            <w:tcW w:w="122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6.365.000,00</w:t>
            </w:r>
          </w:p>
        </w:tc>
        <w:tc>
          <w:tcPr>
            <w:tcW w:w="595"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3,20</w:t>
            </w:r>
          </w:p>
        </w:tc>
        <w:tc>
          <w:tcPr>
            <w:tcW w:w="14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4.757.151,71</w:t>
            </w:r>
          </w:p>
        </w:tc>
        <w:tc>
          <w:tcPr>
            <w:tcW w:w="708"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6,83</w:t>
            </w:r>
          </w:p>
        </w:tc>
        <w:tc>
          <w:tcPr>
            <w:tcW w:w="127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7.876.000,00</w:t>
            </w:r>
          </w:p>
        </w:tc>
        <w:tc>
          <w:tcPr>
            <w:tcW w:w="70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3,13</w:t>
            </w:r>
          </w:p>
        </w:tc>
        <w:tc>
          <w:tcPr>
            <w:tcW w:w="128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3.517.136,39</w:t>
            </w:r>
          </w:p>
        </w:tc>
        <w:tc>
          <w:tcPr>
            <w:tcW w:w="69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9923E5" w:rsidP="009923E5">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3,67</w:t>
            </w:r>
          </w:p>
        </w:tc>
      </w:tr>
      <w:tr w:rsidR="00912338" w:rsidRPr="00AB662B" w:rsidTr="00912338">
        <w:trPr>
          <w:trHeight w:val="314"/>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6</w:t>
            </w:r>
          </w:p>
        </w:tc>
        <w:tc>
          <w:tcPr>
            <w:tcW w:w="1899" w:type="dxa"/>
            <w:tcBorders>
              <w:top w:val="nil"/>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SERMAYE GİDERLERİ</w:t>
            </w:r>
          </w:p>
        </w:tc>
        <w:tc>
          <w:tcPr>
            <w:tcW w:w="122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52.134.000,00</w:t>
            </w:r>
          </w:p>
        </w:tc>
        <w:tc>
          <w:tcPr>
            <w:tcW w:w="595"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26,20</w:t>
            </w:r>
          </w:p>
        </w:tc>
        <w:tc>
          <w:tcPr>
            <w:tcW w:w="14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9.461.515,23</w:t>
            </w:r>
          </w:p>
        </w:tc>
        <w:tc>
          <w:tcPr>
            <w:tcW w:w="708"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13,59</w:t>
            </w:r>
          </w:p>
        </w:tc>
        <w:tc>
          <w:tcPr>
            <w:tcW w:w="127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57.563.000,00</w:t>
            </w:r>
          </w:p>
        </w:tc>
        <w:tc>
          <w:tcPr>
            <w:tcW w:w="70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22,84</w:t>
            </w:r>
          </w:p>
        </w:tc>
        <w:tc>
          <w:tcPr>
            <w:tcW w:w="128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16.040.233,70</w:t>
            </w:r>
          </w:p>
        </w:tc>
        <w:tc>
          <w:tcPr>
            <w:tcW w:w="69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9923E5" w:rsidP="00AB662B">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16,73</w:t>
            </w:r>
          </w:p>
        </w:tc>
      </w:tr>
      <w:tr w:rsidR="00912338" w:rsidRPr="00AB662B" w:rsidTr="00912338">
        <w:trPr>
          <w:trHeight w:val="493"/>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7</w:t>
            </w:r>
          </w:p>
        </w:tc>
        <w:tc>
          <w:tcPr>
            <w:tcW w:w="189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SERMAYE TRANSFERLERİ</w:t>
            </w:r>
          </w:p>
        </w:tc>
        <w:tc>
          <w:tcPr>
            <w:tcW w:w="122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595"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14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708"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127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70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128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69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r>
      <w:tr w:rsidR="00912338" w:rsidRPr="00AB662B" w:rsidTr="00912338">
        <w:trPr>
          <w:trHeight w:val="314"/>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8</w:t>
            </w:r>
          </w:p>
        </w:tc>
        <w:tc>
          <w:tcPr>
            <w:tcW w:w="1899" w:type="dxa"/>
            <w:tcBorders>
              <w:top w:val="nil"/>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BORÇ VERME</w:t>
            </w:r>
          </w:p>
        </w:tc>
        <w:tc>
          <w:tcPr>
            <w:tcW w:w="122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595"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14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708"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127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70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128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69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r>
      <w:tr w:rsidR="00912338" w:rsidRPr="00AB662B" w:rsidTr="00912338">
        <w:trPr>
          <w:trHeight w:val="314"/>
        </w:trPr>
        <w:tc>
          <w:tcPr>
            <w:tcW w:w="397"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9</w:t>
            </w:r>
          </w:p>
        </w:tc>
        <w:tc>
          <w:tcPr>
            <w:tcW w:w="189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YEDEK ÖDENEKLER</w:t>
            </w:r>
          </w:p>
        </w:tc>
        <w:tc>
          <w:tcPr>
            <w:tcW w:w="122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12.000.000,00</w:t>
            </w:r>
          </w:p>
        </w:tc>
        <w:tc>
          <w:tcPr>
            <w:tcW w:w="595"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6,03</w:t>
            </w:r>
          </w:p>
        </w:tc>
        <w:tc>
          <w:tcPr>
            <w:tcW w:w="14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708"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1276"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15.000.000,00</w:t>
            </w:r>
          </w:p>
        </w:tc>
        <w:tc>
          <w:tcPr>
            <w:tcW w:w="70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5,95</w:t>
            </w:r>
          </w:p>
        </w:tc>
        <w:tc>
          <w:tcPr>
            <w:tcW w:w="128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c>
          <w:tcPr>
            <w:tcW w:w="69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16"/>
                <w:szCs w:val="16"/>
                <w:lang w:eastAsia="tr-TR"/>
              </w:rPr>
            </w:pPr>
            <w:r w:rsidRPr="00AB662B">
              <w:rPr>
                <w:rFonts w:ascii="Arial TUR" w:eastAsia="Times New Roman" w:hAnsi="Arial TUR" w:cs="Arial TUR"/>
                <w:b/>
                <w:bCs/>
                <w:color w:val="800000"/>
                <w:sz w:val="16"/>
                <w:szCs w:val="16"/>
                <w:lang w:eastAsia="tr-TR"/>
              </w:rPr>
              <w:t>0,00</w:t>
            </w:r>
          </w:p>
        </w:tc>
      </w:tr>
      <w:tr w:rsidR="00912338" w:rsidRPr="00AB662B" w:rsidTr="00912338">
        <w:trPr>
          <w:trHeight w:val="314"/>
        </w:trPr>
        <w:tc>
          <w:tcPr>
            <w:tcW w:w="397"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AB662B" w:rsidRPr="00AB662B" w:rsidRDefault="00AB662B" w:rsidP="00AB662B">
            <w:pPr>
              <w:spacing w:after="0" w:line="240" w:lineRule="auto"/>
              <w:rPr>
                <w:rFonts w:ascii="Times New Roman" w:eastAsia="Times New Roman" w:hAnsi="Times New Roman" w:cs="Times New Roman"/>
                <w:color w:val="000000"/>
                <w:sz w:val="20"/>
                <w:szCs w:val="20"/>
                <w:lang w:eastAsia="tr-TR"/>
              </w:rPr>
            </w:pPr>
            <w:r w:rsidRPr="00AB662B">
              <w:rPr>
                <w:rFonts w:ascii="Times New Roman" w:eastAsia="Times New Roman" w:hAnsi="Times New Roman" w:cs="Times New Roman"/>
                <w:color w:val="000000"/>
                <w:sz w:val="20"/>
                <w:szCs w:val="20"/>
                <w:lang w:eastAsia="tr-TR"/>
              </w:rPr>
              <w:t> </w:t>
            </w:r>
          </w:p>
        </w:tc>
        <w:tc>
          <w:tcPr>
            <w:tcW w:w="189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rPr>
                <w:rFonts w:ascii="Calibri" w:eastAsia="Times New Roman" w:hAnsi="Calibri" w:cs="Times New Roman"/>
                <w:b/>
                <w:bCs/>
                <w:color w:val="8E0000"/>
                <w:sz w:val="18"/>
                <w:szCs w:val="18"/>
                <w:lang w:eastAsia="tr-TR"/>
              </w:rPr>
            </w:pPr>
            <w:r w:rsidRPr="00AB662B">
              <w:rPr>
                <w:rFonts w:ascii="Calibri" w:eastAsia="Times New Roman" w:hAnsi="Calibri" w:cs="Times New Roman"/>
                <w:b/>
                <w:bCs/>
                <w:color w:val="8E0000"/>
                <w:sz w:val="18"/>
                <w:szCs w:val="18"/>
                <w:lang w:eastAsia="tr-TR"/>
              </w:rPr>
              <w:t>T O P L A M</w:t>
            </w:r>
          </w:p>
        </w:tc>
        <w:tc>
          <w:tcPr>
            <w:tcW w:w="122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199.000.000,00</w:t>
            </w:r>
          </w:p>
        </w:tc>
        <w:tc>
          <w:tcPr>
            <w:tcW w:w="595"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100,00</w:t>
            </w:r>
          </w:p>
        </w:tc>
        <w:tc>
          <w:tcPr>
            <w:tcW w:w="14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9923E5"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69.622.056,5</w:t>
            </w:r>
            <w:r w:rsidR="00AB662B" w:rsidRPr="00AB662B">
              <w:rPr>
                <w:rFonts w:ascii="Calibri" w:eastAsia="Times New Roman" w:hAnsi="Calibri" w:cs="Times New Roman"/>
                <w:b/>
                <w:bCs/>
                <w:color w:val="8E0000"/>
                <w:sz w:val="16"/>
                <w:szCs w:val="16"/>
                <w:lang w:eastAsia="tr-TR"/>
              </w:rPr>
              <w:t>1</w:t>
            </w:r>
          </w:p>
        </w:tc>
        <w:tc>
          <w:tcPr>
            <w:tcW w:w="708"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100,00</w:t>
            </w:r>
          </w:p>
        </w:tc>
        <w:tc>
          <w:tcPr>
            <w:tcW w:w="1276"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TUR" w:eastAsia="Times New Roman" w:hAnsi="Arial TUR" w:cs="Arial TUR"/>
                <w:b/>
                <w:bCs/>
                <w:color w:val="943634"/>
                <w:sz w:val="16"/>
                <w:szCs w:val="16"/>
                <w:lang w:eastAsia="tr-TR"/>
              </w:rPr>
            </w:pPr>
            <w:r w:rsidRPr="00AB662B">
              <w:rPr>
                <w:rFonts w:ascii="Arial TUR" w:eastAsia="Times New Roman" w:hAnsi="Arial TUR" w:cs="Arial TUR"/>
                <w:b/>
                <w:bCs/>
                <w:color w:val="943634"/>
                <w:sz w:val="16"/>
                <w:szCs w:val="16"/>
                <w:lang w:eastAsia="tr-TR"/>
              </w:rPr>
              <w:t>252.000.000,00</w:t>
            </w:r>
          </w:p>
        </w:tc>
        <w:tc>
          <w:tcPr>
            <w:tcW w:w="70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TUR" w:eastAsia="Times New Roman" w:hAnsi="Arial TUR" w:cs="Arial TUR"/>
                <w:b/>
                <w:bCs/>
                <w:color w:val="943634"/>
                <w:sz w:val="16"/>
                <w:szCs w:val="16"/>
                <w:lang w:eastAsia="tr-TR"/>
              </w:rPr>
            </w:pPr>
            <w:r w:rsidRPr="00AB662B">
              <w:rPr>
                <w:rFonts w:ascii="Arial TUR" w:eastAsia="Times New Roman" w:hAnsi="Arial TUR" w:cs="Arial TUR"/>
                <w:b/>
                <w:bCs/>
                <w:color w:val="943634"/>
                <w:sz w:val="16"/>
                <w:szCs w:val="16"/>
                <w:lang w:eastAsia="tr-TR"/>
              </w:rPr>
              <w:t>100,00</w:t>
            </w:r>
          </w:p>
        </w:tc>
        <w:tc>
          <w:tcPr>
            <w:tcW w:w="128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Arial" w:eastAsia="Times New Roman" w:hAnsi="Arial" w:cs="Arial"/>
                <w:b/>
                <w:bCs/>
                <w:color w:val="943634"/>
                <w:sz w:val="16"/>
                <w:szCs w:val="16"/>
                <w:lang w:eastAsia="tr-TR"/>
              </w:rPr>
            </w:pPr>
            <w:r w:rsidRPr="00AB662B">
              <w:rPr>
                <w:rFonts w:ascii="Arial" w:eastAsia="Times New Roman" w:hAnsi="Arial" w:cs="Arial"/>
                <w:b/>
                <w:bCs/>
                <w:color w:val="943634"/>
                <w:sz w:val="16"/>
                <w:szCs w:val="16"/>
                <w:lang w:eastAsia="tr-TR"/>
              </w:rPr>
              <w:t>95.881.311,91</w:t>
            </w:r>
          </w:p>
        </w:tc>
        <w:tc>
          <w:tcPr>
            <w:tcW w:w="69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9923E5" w:rsidP="00AB662B">
            <w:pPr>
              <w:spacing w:after="0" w:line="240" w:lineRule="auto"/>
              <w:jc w:val="center"/>
              <w:rPr>
                <w:rFonts w:ascii="Arial TUR" w:eastAsia="Times New Roman" w:hAnsi="Arial TUR" w:cs="Arial TUR"/>
                <w:b/>
                <w:bCs/>
                <w:color w:val="800000"/>
                <w:sz w:val="16"/>
                <w:szCs w:val="16"/>
                <w:lang w:eastAsia="tr-TR"/>
              </w:rPr>
            </w:pPr>
            <w:r>
              <w:rPr>
                <w:rFonts w:ascii="Arial TUR" w:eastAsia="Times New Roman" w:hAnsi="Arial TUR" w:cs="Arial TUR"/>
                <w:b/>
                <w:bCs/>
                <w:color w:val="800000"/>
                <w:sz w:val="16"/>
                <w:szCs w:val="16"/>
                <w:lang w:eastAsia="tr-TR"/>
              </w:rPr>
              <w:t>100</w:t>
            </w:r>
          </w:p>
        </w:tc>
      </w:tr>
    </w:tbl>
    <w:p w:rsidR="00AB662B" w:rsidRPr="00AB662B" w:rsidRDefault="00AB662B" w:rsidP="00881D39">
      <w:pPr>
        <w:spacing w:after="0" w:line="360" w:lineRule="auto"/>
        <w:ind w:firstLine="360"/>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lastRenderedPageBreak/>
        <w:t xml:space="preserve">Belediye Meclisimizce Stratejik plan ve performans programı dikkate alınarak 2018 Mali Yılı Bütçesinde;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Personel Giderleri </w:t>
      </w:r>
      <w:r w:rsidRPr="00AB662B">
        <w:rPr>
          <w:rFonts w:ascii="Times New Roman" w:eastAsia="Times New Roman" w:hAnsi="Times New Roman" w:cs="Times New Roman"/>
          <w:sz w:val="23"/>
          <w:szCs w:val="23"/>
          <w:lang w:eastAsia="tr-TR"/>
        </w:rPr>
        <w:t xml:space="preserve">için </w:t>
      </w:r>
      <w:r w:rsidRPr="00AB662B">
        <w:rPr>
          <w:rFonts w:ascii="Times New Roman" w:eastAsia="Times New Roman" w:hAnsi="Times New Roman" w:cs="Times New Roman"/>
          <w:color w:val="000000"/>
          <w:sz w:val="23"/>
          <w:szCs w:val="23"/>
          <w:lang w:eastAsia="tr-TR"/>
        </w:rPr>
        <w:t xml:space="preserve">36.494.000,00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Sosyal Güvenlik Kurumuna Devlet Pirimi Giderleri </w:t>
      </w:r>
      <w:r w:rsidRPr="00AB662B">
        <w:rPr>
          <w:rFonts w:ascii="Times New Roman" w:eastAsia="Times New Roman" w:hAnsi="Times New Roman" w:cs="Times New Roman"/>
          <w:sz w:val="23"/>
          <w:szCs w:val="23"/>
          <w:lang w:eastAsia="tr-TR"/>
        </w:rPr>
        <w:t xml:space="preserve">için </w:t>
      </w:r>
      <w:r w:rsidRPr="00AB662B">
        <w:rPr>
          <w:rFonts w:ascii="Times New Roman" w:eastAsia="Times New Roman" w:hAnsi="Times New Roman" w:cs="Times New Roman"/>
          <w:bCs/>
          <w:sz w:val="23"/>
          <w:szCs w:val="23"/>
          <w:lang w:eastAsia="tr-TR"/>
        </w:rPr>
        <w:t xml:space="preserve">5.680.000,00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Mal ve Hizmet Alım Giderleri </w:t>
      </w:r>
      <w:r w:rsidRPr="00AB662B">
        <w:rPr>
          <w:rFonts w:ascii="Times New Roman" w:eastAsia="Times New Roman" w:hAnsi="Times New Roman" w:cs="Times New Roman"/>
          <w:sz w:val="23"/>
          <w:szCs w:val="23"/>
          <w:lang w:eastAsia="tr-TR"/>
        </w:rPr>
        <w:t xml:space="preserve">için </w:t>
      </w:r>
      <w:r w:rsidRPr="00AB662B">
        <w:rPr>
          <w:rFonts w:ascii="Times New Roman" w:eastAsia="Times New Roman" w:hAnsi="Times New Roman" w:cs="Times New Roman"/>
          <w:bCs/>
          <w:sz w:val="23"/>
          <w:szCs w:val="23"/>
          <w:lang w:eastAsia="tr-TR"/>
        </w:rPr>
        <w:t xml:space="preserve">129.387.000,00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Cari Transferler </w:t>
      </w:r>
      <w:r w:rsidRPr="00AB662B">
        <w:rPr>
          <w:rFonts w:ascii="Times New Roman" w:eastAsia="Times New Roman" w:hAnsi="Times New Roman" w:cs="Times New Roman"/>
          <w:sz w:val="23"/>
          <w:szCs w:val="23"/>
          <w:lang w:eastAsia="tr-TR"/>
        </w:rPr>
        <w:t xml:space="preserve">için </w:t>
      </w:r>
      <w:r w:rsidRPr="00AB662B">
        <w:rPr>
          <w:rFonts w:ascii="Times New Roman" w:eastAsia="Times New Roman" w:hAnsi="Times New Roman" w:cs="Times New Roman"/>
          <w:bCs/>
          <w:sz w:val="23"/>
          <w:szCs w:val="23"/>
          <w:lang w:eastAsia="tr-TR"/>
        </w:rPr>
        <w:t xml:space="preserve">7.876.000,00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Sermaye Giderleri </w:t>
      </w:r>
      <w:r w:rsidRPr="00AB662B">
        <w:rPr>
          <w:rFonts w:ascii="Times New Roman" w:eastAsia="Times New Roman" w:hAnsi="Times New Roman" w:cs="Times New Roman"/>
          <w:sz w:val="23"/>
          <w:szCs w:val="23"/>
          <w:lang w:eastAsia="tr-TR"/>
        </w:rPr>
        <w:t xml:space="preserve">için </w:t>
      </w:r>
      <w:r w:rsidRPr="00AB662B">
        <w:rPr>
          <w:rFonts w:ascii="Times New Roman" w:eastAsia="Times New Roman" w:hAnsi="Times New Roman" w:cs="Times New Roman"/>
          <w:bCs/>
          <w:sz w:val="23"/>
          <w:szCs w:val="23"/>
          <w:lang w:eastAsia="tr-TR"/>
        </w:rPr>
        <w:t xml:space="preserve">57.563.000,00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p>
    <w:p w:rsidR="00AB662B" w:rsidRPr="00AB662B" w:rsidRDefault="00AB662B" w:rsidP="00AB662B">
      <w:pPr>
        <w:numPr>
          <w:ilvl w:val="0"/>
          <w:numId w:val="5"/>
        </w:numPr>
        <w:spacing w:after="0" w:line="240" w:lineRule="auto"/>
        <w:ind w:left="714" w:hanging="357"/>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Yedek Ödenekler </w:t>
      </w:r>
      <w:r w:rsidRPr="00AB662B">
        <w:rPr>
          <w:rFonts w:ascii="Times New Roman" w:eastAsia="Times New Roman" w:hAnsi="Times New Roman" w:cs="Times New Roman"/>
          <w:sz w:val="23"/>
          <w:szCs w:val="23"/>
          <w:lang w:eastAsia="tr-TR"/>
        </w:rPr>
        <w:t xml:space="preserve">için de </w:t>
      </w:r>
      <w:r w:rsidRPr="00AB662B">
        <w:rPr>
          <w:rFonts w:ascii="Times New Roman" w:eastAsia="Times New Roman" w:hAnsi="Times New Roman" w:cs="Times New Roman"/>
          <w:bCs/>
          <w:sz w:val="23"/>
          <w:szCs w:val="23"/>
          <w:lang w:eastAsia="tr-TR"/>
        </w:rPr>
        <w:t xml:space="preserve">15.000.000,00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olmak üzere toplam </w:t>
      </w:r>
      <w:r w:rsidRPr="00AB662B">
        <w:rPr>
          <w:rFonts w:ascii="Times New Roman" w:eastAsia="Times New Roman" w:hAnsi="Times New Roman" w:cs="Times New Roman"/>
          <w:bCs/>
          <w:sz w:val="23"/>
          <w:szCs w:val="23"/>
          <w:lang w:eastAsia="tr-TR"/>
        </w:rPr>
        <w:t xml:space="preserve">252.000.000,00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ödenek öngörülmüştür.</w:t>
      </w:r>
    </w:p>
    <w:p w:rsidR="00AB662B" w:rsidRPr="00AB662B" w:rsidRDefault="00AB662B" w:rsidP="00A2047A">
      <w:pPr>
        <w:spacing w:after="0" w:line="240" w:lineRule="auto"/>
        <w:jc w:val="both"/>
        <w:rPr>
          <w:rFonts w:ascii="Times New Roman" w:eastAsia="Times New Roman" w:hAnsi="Times New Roman" w:cs="Times New Roman"/>
          <w:sz w:val="23"/>
          <w:szCs w:val="23"/>
          <w:lang w:eastAsia="tr-TR"/>
        </w:rPr>
      </w:pPr>
    </w:p>
    <w:p w:rsidR="00247A81" w:rsidRDefault="00247A81" w:rsidP="00247A81">
      <w:pPr>
        <w:autoSpaceDE w:val="0"/>
        <w:autoSpaceDN w:val="0"/>
        <w:adjustRightInd w:val="0"/>
        <w:spacing w:after="240" w:line="240" w:lineRule="auto"/>
        <w:ind w:left="714"/>
        <w:jc w:val="both"/>
        <w:rPr>
          <w:rFonts w:ascii="Times New Roman" w:eastAsia="Times New Roman" w:hAnsi="Times New Roman" w:cs="Times New Roman"/>
          <w:sz w:val="23"/>
          <w:szCs w:val="23"/>
          <w:lang w:eastAsia="tr-TR"/>
        </w:rPr>
      </w:pPr>
    </w:p>
    <w:p w:rsidR="00AB662B" w:rsidRPr="00AB662B" w:rsidRDefault="00AB662B" w:rsidP="00247A81">
      <w:pPr>
        <w:autoSpaceDE w:val="0"/>
        <w:autoSpaceDN w:val="0"/>
        <w:adjustRightInd w:val="0"/>
        <w:spacing w:after="240" w:line="240" w:lineRule="auto"/>
        <w:ind w:firstLine="357"/>
        <w:jc w:val="both"/>
        <w:rPr>
          <w:rFonts w:ascii="Times New Roman" w:eastAsia="Times New Roman" w:hAnsi="Times New Roman" w:cs="Times New Roman"/>
          <w:sz w:val="23"/>
          <w:szCs w:val="23"/>
          <w:lang w:eastAsia="tr-TR"/>
        </w:rPr>
      </w:pPr>
      <w:proofErr w:type="gramStart"/>
      <w:r w:rsidRPr="00AB662B">
        <w:rPr>
          <w:rFonts w:ascii="Times New Roman" w:eastAsia="Times New Roman" w:hAnsi="Times New Roman" w:cs="Times New Roman"/>
          <w:bCs/>
          <w:sz w:val="23"/>
          <w:szCs w:val="23"/>
          <w:lang w:eastAsia="tr-TR"/>
        </w:rPr>
        <w:t xml:space="preserve">252.000.000,00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belirlenen bu ödeneklerin gider kalemlerine göre bütçeden aldığı paylara bakacak olursak; </w:t>
      </w:r>
      <w:r w:rsidRPr="00AB662B">
        <w:rPr>
          <w:rFonts w:ascii="Times New Roman" w:eastAsia="Times New Roman" w:hAnsi="Times New Roman" w:cs="Times New Roman"/>
          <w:bCs/>
          <w:sz w:val="23"/>
          <w:szCs w:val="23"/>
          <w:lang w:eastAsia="tr-TR"/>
        </w:rPr>
        <w:t xml:space="preserve">Personel Giderlerine %14,48, </w:t>
      </w:r>
      <w:r w:rsidRPr="00AB662B">
        <w:rPr>
          <w:rFonts w:ascii="Times New Roman" w:eastAsia="Times New Roman" w:hAnsi="Times New Roman" w:cs="Times New Roman"/>
          <w:sz w:val="23"/>
          <w:szCs w:val="23"/>
          <w:lang w:eastAsia="tr-TR"/>
        </w:rPr>
        <w:t xml:space="preserve"> </w:t>
      </w:r>
      <w:r w:rsidRPr="00AB662B">
        <w:rPr>
          <w:rFonts w:ascii="Times New Roman" w:eastAsia="Times New Roman" w:hAnsi="Times New Roman" w:cs="Times New Roman"/>
          <w:bCs/>
          <w:sz w:val="23"/>
          <w:szCs w:val="23"/>
          <w:lang w:eastAsia="tr-TR"/>
        </w:rPr>
        <w:t>Sosyal Güvenlik Kurumlarına Ödenen Devlet Pirimi Giderlerine %2,25</w:t>
      </w:r>
      <w:r w:rsidRPr="00AB662B">
        <w:rPr>
          <w:rFonts w:ascii="Times New Roman" w:eastAsia="Times New Roman" w:hAnsi="Times New Roman" w:cs="Times New Roman"/>
          <w:sz w:val="23"/>
          <w:szCs w:val="23"/>
          <w:lang w:eastAsia="tr-TR"/>
        </w:rPr>
        <w:t xml:space="preserve">, </w:t>
      </w:r>
      <w:r w:rsidRPr="00AB662B">
        <w:rPr>
          <w:rFonts w:ascii="Times New Roman" w:eastAsia="Times New Roman" w:hAnsi="Times New Roman" w:cs="Times New Roman"/>
          <w:bCs/>
          <w:sz w:val="23"/>
          <w:szCs w:val="23"/>
          <w:lang w:eastAsia="tr-TR"/>
        </w:rPr>
        <w:t>Mal ve Hizmet Alım Giderlerine %51</w:t>
      </w:r>
      <w:r w:rsidRPr="00AB662B">
        <w:rPr>
          <w:rFonts w:ascii="Times New Roman" w:eastAsia="Times New Roman" w:hAnsi="Times New Roman" w:cs="Times New Roman"/>
          <w:sz w:val="23"/>
          <w:szCs w:val="23"/>
          <w:lang w:eastAsia="tr-TR"/>
        </w:rPr>
        <w:t>,34</w:t>
      </w:r>
      <w:r w:rsidRPr="00AB662B">
        <w:rPr>
          <w:rFonts w:ascii="Times New Roman" w:eastAsia="Times New Roman" w:hAnsi="Times New Roman" w:cs="Times New Roman"/>
          <w:bCs/>
          <w:sz w:val="23"/>
          <w:szCs w:val="23"/>
          <w:lang w:eastAsia="tr-TR"/>
        </w:rPr>
        <w:t>,</w:t>
      </w:r>
      <w:r w:rsidRPr="00AB662B">
        <w:rPr>
          <w:rFonts w:ascii="Times New Roman" w:eastAsia="Times New Roman" w:hAnsi="Times New Roman" w:cs="Times New Roman"/>
          <w:sz w:val="23"/>
          <w:szCs w:val="23"/>
          <w:lang w:eastAsia="tr-TR"/>
        </w:rPr>
        <w:t xml:space="preserve">Hane halklarına yapılan sosyal amaçlı yardımlar, Mahalli idare birliklerine katılma payları, İller Bankası ortaklık payı vb. giderlerimizden oluşan </w:t>
      </w:r>
      <w:r w:rsidRPr="00AB662B">
        <w:rPr>
          <w:rFonts w:ascii="Times New Roman" w:eastAsia="Times New Roman" w:hAnsi="Times New Roman" w:cs="Times New Roman"/>
          <w:bCs/>
          <w:sz w:val="23"/>
          <w:szCs w:val="23"/>
          <w:lang w:eastAsia="tr-TR"/>
        </w:rPr>
        <w:t>Cari transferlere % 3,13</w:t>
      </w:r>
      <w:r w:rsidRPr="00AB662B">
        <w:rPr>
          <w:rFonts w:ascii="Times New Roman" w:eastAsia="Times New Roman" w:hAnsi="Times New Roman" w:cs="Times New Roman"/>
          <w:sz w:val="23"/>
          <w:szCs w:val="23"/>
          <w:lang w:eastAsia="tr-TR"/>
        </w:rPr>
        <w:t xml:space="preserve">, tamamı yatırımlardan oluşan </w:t>
      </w:r>
      <w:r w:rsidRPr="00AB662B">
        <w:rPr>
          <w:rFonts w:ascii="Times New Roman" w:eastAsia="Times New Roman" w:hAnsi="Times New Roman" w:cs="Times New Roman"/>
          <w:bCs/>
          <w:sz w:val="23"/>
          <w:szCs w:val="23"/>
          <w:lang w:eastAsia="tr-TR"/>
        </w:rPr>
        <w:t xml:space="preserve">Sermaye Giderlerine %22,84, Yedek Ödenek </w:t>
      </w:r>
      <w:r w:rsidRPr="00AB662B">
        <w:rPr>
          <w:rFonts w:ascii="Times New Roman" w:eastAsia="Times New Roman" w:hAnsi="Times New Roman" w:cs="Times New Roman"/>
          <w:sz w:val="23"/>
          <w:szCs w:val="23"/>
          <w:lang w:eastAsia="tr-TR"/>
        </w:rPr>
        <w:t xml:space="preserve">kalemine </w:t>
      </w:r>
      <w:r w:rsidRPr="00AB662B">
        <w:rPr>
          <w:rFonts w:ascii="Times New Roman" w:eastAsia="Times New Roman" w:hAnsi="Times New Roman" w:cs="Times New Roman"/>
          <w:bCs/>
          <w:sz w:val="23"/>
          <w:szCs w:val="23"/>
          <w:lang w:eastAsia="tr-TR"/>
        </w:rPr>
        <w:t xml:space="preserve">%5,95 </w:t>
      </w:r>
      <w:r w:rsidRPr="00AB662B">
        <w:rPr>
          <w:rFonts w:ascii="Times New Roman" w:eastAsia="Times New Roman" w:hAnsi="Times New Roman" w:cs="Times New Roman"/>
          <w:sz w:val="23"/>
          <w:szCs w:val="23"/>
          <w:lang w:eastAsia="tr-TR"/>
        </w:rPr>
        <w:t xml:space="preserve">oranında bütçeden pay ayrılmıştır. </w:t>
      </w:r>
      <w:proofErr w:type="gramEnd"/>
    </w:p>
    <w:p w:rsidR="00247A81"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AB662B">
        <w:rPr>
          <w:rFonts w:ascii="Times New Roman" w:eastAsia="Times New Roman" w:hAnsi="Times New Roman" w:cs="Times New Roman"/>
          <w:color w:val="FF0000"/>
          <w:sz w:val="23"/>
          <w:szCs w:val="23"/>
          <w:lang w:eastAsia="tr-TR"/>
        </w:rPr>
        <w:tab/>
      </w:r>
    </w:p>
    <w:p w:rsidR="00AB662B" w:rsidRPr="00AB662B" w:rsidRDefault="00AB662B" w:rsidP="00247A81">
      <w:pPr>
        <w:spacing w:after="0" w:line="360" w:lineRule="auto"/>
        <w:ind w:firstLine="357"/>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 xml:space="preserve">2018 Yılı Ocak-Haziran döneminde; </w:t>
      </w:r>
    </w:p>
    <w:p w:rsidR="00AB662B" w:rsidRPr="00AB662B" w:rsidRDefault="00AB662B" w:rsidP="00AB662B">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Personel Giderleri </w:t>
      </w:r>
      <w:r w:rsidRPr="00AB662B">
        <w:rPr>
          <w:rFonts w:ascii="Times New Roman" w:eastAsia="Times New Roman" w:hAnsi="Times New Roman" w:cs="Times New Roman"/>
          <w:sz w:val="23"/>
          <w:szCs w:val="23"/>
          <w:lang w:eastAsia="tr-TR"/>
        </w:rPr>
        <w:t>bütçesine göre %</w:t>
      </w:r>
      <w:r w:rsidRPr="00AB662B">
        <w:rPr>
          <w:rFonts w:ascii="Times New Roman" w:eastAsia="Times New Roman" w:hAnsi="Times New Roman" w:cs="Times New Roman"/>
          <w:bCs/>
          <w:sz w:val="23"/>
          <w:szCs w:val="23"/>
          <w:lang w:eastAsia="tr-TR"/>
        </w:rPr>
        <w:t>42,40</w:t>
      </w:r>
      <w:r w:rsidRPr="00AB662B">
        <w:rPr>
          <w:rFonts w:ascii="Times New Roman" w:eastAsia="Times New Roman" w:hAnsi="Times New Roman" w:cs="Times New Roman"/>
          <w:sz w:val="23"/>
          <w:szCs w:val="23"/>
          <w:lang w:eastAsia="tr-TR"/>
        </w:rPr>
        <w:t xml:space="preserve">’lik bir gerçekleşme ile </w:t>
      </w:r>
      <w:r w:rsidRPr="00AB662B">
        <w:rPr>
          <w:rFonts w:ascii="Times New Roman" w:eastAsia="Times New Roman" w:hAnsi="Times New Roman" w:cs="Times New Roman"/>
          <w:color w:val="000000"/>
          <w:sz w:val="23"/>
          <w:szCs w:val="23"/>
          <w:lang w:eastAsia="tr-TR"/>
        </w:rPr>
        <w:t>15.473.809,15</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Pr="00AB662B" w:rsidRDefault="00AB662B" w:rsidP="00AB662B">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Sosyal Güvenlik Kurumuna Devlet Pirimi Giderleri </w:t>
      </w:r>
      <w:r w:rsidRPr="00AB662B">
        <w:rPr>
          <w:rFonts w:ascii="Times New Roman" w:eastAsia="Times New Roman" w:hAnsi="Times New Roman" w:cs="Times New Roman"/>
          <w:sz w:val="23"/>
          <w:szCs w:val="23"/>
          <w:lang w:eastAsia="tr-TR"/>
        </w:rPr>
        <w:t>%</w:t>
      </w:r>
      <w:r w:rsidRPr="00AB662B">
        <w:rPr>
          <w:rFonts w:ascii="Times New Roman" w:eastAsia="Times New Roman" w:hAnsi="Times New Roman" w:cs="Times New Roman"/>
          <w:bCs/>
          <w:sz w:val="23"/>
          <w:szCs w:val="23"/>
          <w:lang w:eastAsia="tr-TR"/>
        </w:rPr>
        <w:t>39,94</w:t>
      </w:r>
      <w:r w:rsidRPr="00AB662B">
        <w:rPr>
          <w:rFonts w:ascii="Times New Roman" w:eastAsia="Times New Roman" w:hAnsi="Times New Roman" w:cs="Times New Roman"/>
          <w:sz w:val="23"/>
          <w:szCs w:val="23"/>
          <w:lang w:eastAsia="tr-TR"/>
        </w:rPr>
        <w:t xml:space="preserve">’lik bir gerçekleşme ile </w:t>
      </w:r>
      <w:r w:rsidRPr="00AB662B">
        <w:rPr>
          <w:rFonts w:ascii="Times New Roman" w:eastAsia="Times New Roman" w:hAnsi="Times New Roman" w:cs="Times New Roman"/>
          <w:color w:val="000000"/>
          <w:sz w:val="23"/>
          <w:szCs w:val="23"/>
          <w:lang w:eastAsia="tr-TR"/>
        </w:rPr>
        <w:t>2.268.446,06</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Pr="00AB662B" w:rsidRDefault="00AB662B" w:rsidP="00AB662B">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Mal ve Hizmet Alım Giderleri </w:t>
      </w:r>
      <w:r w:rsidRPr="00AB662B">
        <w:rPr>
          <w:rFonts w:ascii="Times New Roman" w:eastAsia="Times New Roman" w:hAnsi="Times New Roman" w:cs="Times New Roman"/>
          <w:sz w:val="23"/>
          <w:szCs w:val="23"/>
          <w:lang w:eastAsia="tr-TR"/>
        </w:rPr>
        <w:t>%</w:t>
      </w:r>
      <w:r w:rsidRPr="00AB662B">
        <w:rPr>
          <w:rFonts w:ascii="Times New Roman" w:eastAsia="Times New Roman" w:hAnsi="Times New Roman" w:cs="Times New Roman"/>
          <w:bCs/>
          <w:sz w:val="23"/>
          <w:szCs w:val="23"/>
          <w:lang w:eastAsia="tr-TR"/>
        </w:rPr>
        <w:t>45,28</w:t>
      </w:r>
      <w:r w:rsidRPr="00AB662B">
        <w:rPr>
          <w:rFonts w:ascii="Times New Roman" w:eastAsia="Times New Roman" w:hAnsi="Times New Roman" w:cs="Times New Roman"/>
          <w:sz w:val="23"/>
          <w:szCs w:val="23"/>
          <w:lang w:eastAsia="tr-TR"/>
        </w:rPr>
        <w:t xml:space="preserve">’lik bir gerçekleşme ile </w:t>
      </w:r>
      <w:r w:rsidRPr="00AB662B">
        <w:rPr>
          <w:rFonts w:ascii="Times New Roman" w:eastAsia="Times New Roman" w:hAnsi="Times New Roman" w:cs="Times New Roman"/>
          <w:color w:val="000000"/>
          <w:sz w:val="23"/>
          <w:szCs w:val="23"/>
          <w:lang w:eastAsia="tr-TR"/>
        </w:rPr>
        <w:t>58.581.686,61</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Pr="00AB662B" w:rsidRDefault="00AB662B" w:rsidP="00AB662B">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bCs/>
          <w:sz w:val="23"/>
          <w:szCs w:val="23"/>
          <w:lang w:eastAsia="tr-TR"/>
        </w:rPr>
        <w:t xml:space="preserve">Cari Transferler </w:t>
      </w:r>
      <w:r w:rsidRPr="00AB662B">
        <w:rPr>
          <w:rFonts w:ascii="Times New Roman" w:eastAsia="Times New Roman" w:hAnsi="Times New Roman" w:cs="Times New Roman"/>
          <w:sz w:val="23"/>
          <w:szCs w:val="23"/>
          <w:lang w:eastAsia="tr-TR"/>
        </w:rPr>
        <w:t>%</w:t>
      </w:r>
      <w:r w:rsidRPr="00AB662B">
        <w:rPr>
          <w:rFonts w:ascii="Times New Roman" w:eastAsia="Times New Roman" w:hAnsi="Times New Roman" w:cs="Times New Roman"/>
          <w:bCs/>
          <w:sz w:val="23"/>
          <w:szCs w:val="23"/>
          <w:lang w:eastAsia="tr-TR"/>
        </w:rPr>
        <w:t>44,66</w:t>
      </w:r>
      <w:r w:rsidRPr="00AB662B">
        <w:rPr>
          <w:rFonts w:ascii="Times New Roman" w:eastAsia="Times New Roman" w:hAnsi="Times New Roman" w:cs="Times New Roman"/>
          <w:sz w:val="23"/>
          <w:szCs w:val="23"/>
          <w:lang w:eastAsia="tr-TR"/>
        </w:rPr>
        <w:t xml:space="preserve">’lük bir gerçekleşme ile </w:t>
      </w:r>
      <w:r w:rsidRPr="00AB662B">
        <w:rPr>
          <w:rFonts w:ascii="Times New Roman" w:eastAsia="Times New Roman" w:hAnsi="Times New Roman" w:cs="Times New Roman"/>
          <w:color w:val="000000"/>
          <w:sz w:val="23"/>
          <w:szCs w:val="23"/>
          <w:lang w:eastAsia="tr-TR"/>
        </w:rPr>
        <w:t>3.517.136,39</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w:t>
      </w:r>
    </w:p>
    <w:p w:rsidR="00AB662B" w:rsidRDefault="00AB662B" w:rsidP="00AB662B">
      <w:pPr>
        <w:numPr>
          <w:ilvl w:val="0"/>
          <w:numId w:val="6"/>
        </w:numPr>
        <w:spacing w:after="0" w:line="24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 xml:space="preserve">Sermaye Giderleri % 27,87’lik gerçekleşme ile 16.040.233,70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olmuştur. </w:t>
      </w:r>
    </w:p>
    <w:p w:rsidR="004D3D87" w:rsidRPr="00AB662B" w:rsidRDefault="004D3D87" w:rsidP="004D3D87">
      <w:pPr>
        <w:spacing w:after="0" w:line="240" w:lineRule="auto"/>
        <w:ind w:left="720"/>
        <w:jc w:val="both"/>
        <w:rPr>
          <w:rFonts w:ascii="Times New Roman" w:eastAsia="Times New Roman" w:hAnsi="Times New Roman" w:cs="Times New Roman"/>
          <w:sz w:val="23"/>
          <w:szCs w:val="23"/>
          <w:lang w:eastAsia="tr-TR"/>
        </w:rPr>
      </w:pPr>
    </w:p>
    <w:p w:rsidR="00AB662B" w:rsidRPr="00AB662B" w:rsidRDefault="00AB662B" w:rsidP="00AB662B">
      <w:pPr>
        <w:spacing w:after="0" w:line="240" w:lineRule="auto"/>
        <w:ind w:left="714"/>
        <w:jc w:val="both"/>
        <w:rPr>
          <w:rFonts w:ascii="Times New Roman" w:eastAsia="Times New Roman" w:hAnsi="Times New Roman" w:cs="Times New Roman"/>
          <w:sz w:val="23"/>
          <w:szCs w:val="23"/>
          <w:lang w:eastAsia="tr-TR"/>
        </w:rPr>
      </w:pPr>
    </w:p>
    <w:p w:rsidR="00AB662B" w:rsidRDefault="004D3D87" w:rsidP="00AB662B">
      <w:pPr>
        <w:spacing w:after="0" w:line="360" w:lineRule="auto"/>
        <w:rPr>
          <w:rFonts w:ascii="Times New Roman" w:eastAsia="Times New Roman" w:hAnsi="Times New Roman" w:cs="Times New Roman"/>
          <w:b/>
          <w:bCs/>
          <w:color w:val="FF0000"/>
          <w:sz w:val="23"/>
          <w:szCs w:val="23"/>
          <w:lang w:eastAsia="tr-TR"/>
        </w:rPr>
      </w:pPr>
      <w:r>
        <w:rPr>
          <w:noProof/>
          <w:lang w:eastAsia="tr-TR"/>
        </w:rPr>
        <w:drawing>
          <wp:inline distT="0" distB="0" distL="0" distR="0" wp14:anchorId="56DA87DF" wp14:editId="0B4A5ADD">
            <wp:extent cx="6376894" cy="3287059"/>
            <wp:effectExtent l="0" t="0" r="24130" b="2794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662B" w:rsidRPr="00AB662B" w:rsidRDefault="00AB662B" w:rsidP="00881D39">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p>
    <w:p w:rsidR="00AB662B" w:rsidRPr="00AB662B" w:rsidRDefault="00AB662B" w:rsidP="00AB662B">
      <w:pPr>
        <w:spacing w:after="0" w:line="240" w:lineRule="auto"/>
        <w:ind w:left="714"/>
        <w:jc w:val="both"/>
        <w:rPr>
          <w:rFonts w:ascii="Times New Roman" w:eastAsia="Times New Roman" w:hAnsi="Times New Roman" w:cs="Times New Roman"/>
          <w:sz w:val="23"/>
          <w:szCs w:val="23"/>
          <w:lang w:eastAsia="tr-TR"/>
        </w:rPr>
      </w:pPr>
    </w:p>
    <w:p w:rsidR="00AB662B" w:rsidRPr="009C6759" w:rsidRDefault="00AB662B" w:rsidP="00AB662B">
      <w:pPr>
        <w:numPr>
          <w:ilvl w:val="0"/>
          <w:numId w:val="2"/>
        </w:numPr>
        <w:autoSpaceDE w:val="0"/>
        <w:autoSpaceDN w:val="0"/>
        <w:adjustRightInd w:val="0"/>
        <w:spacing w:after="0" w:line="240" w:lineRule="auto"/>
        <w:rPr>
          <w:rFonts w:ascii="Arial" w:eastAsia="Times New Roman" w:hAnsi="Arial" w:cs="Arial"/>
          <w:lang w:eastAsia="tr-TR"/>
        </w:rPr>
      </w:pPr>
      <w:r w:rsidRPr="00AB662B">
        <w:rPr>
          <w:rFonts w:ascii="Arial" w:eastAsia="Times New Roman" w:hAnsi="Arial" w:cs="Arial"/>
          <w:b/>
          <w:bCs/>
          <w:lang w:eastAsia="tr-TR"/>
        </w:rPr>
        <w:lastRenderedPageBreak/>
        <w:t>Personel Giderleri</w:t>
      </w:r>
    </w:p>
    <w:p w:rsidR="009C6759" w:rsidRPr="00AB662B" w:rsidRDefault="009C6759" w:rsidP="009C6759">
      <w:pPr>
        <w:autoSpaceDE w:val="0"/>
        <w:autoSpaceDN w:val="0"/>
        <w:adjustRightInd w:val="0"/>
        <w:spacing w:after="0" w:line="240" w:lineRule="auto"/>
        <w:ind w:left="720"/>
        <w:rPr>
          <w:rFonts w:ascii="Arial" w:eastAsia="Times New Roman" w:hAnsi="Arial" w:cs="Arial"/>
          <w:lang w:eastAsia="tr-TR"/>
        </w:rPr>
      </w:pPr>
    </w:p>
    <w:p w:rsid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t>2018 yılı Ocak-Haziran Dönemi personel giderleri</w:t>
      </w:r>
      <w:r w:rsidR="00247A81">
        <w:rPr>
          <w:rFonts w:ascii="Times New Roman" w:eastAsia="Times New Roman" w:hAnsi="Times New Roman" w:cs="Times New Roman"/>
          <w:sz w:val="23"/>
          <w:szCs w:val="23"/>
          <w:lang w:eastAsia="tr-TR"/>
        </w:rPr>
        <w:t>nin</w:t>
      </w:r>
      <w:r w:rsidRPr="00AB662B">
        <w:rPr>
          <w:rFonts w:ascii="Times New Roman" w:eastAsia="Times New Roman" w:hAnsi="Times New Roman" w:cs="Times New Roman"/>
          <w:sz w:val="23"/>
          <w:szCs w:val="23"/>
          <w:lang w:eastAsia="tr-TR"/>
        </w:rPr>
        <w:t xml:space="preserve"> toplam gider gerçekleşmesi içindeki payı %16,14 olmuştur.</w:t>
      </w:r>
    </w:p>
    <w:p w:rsidR="009C6759" w:rsidRPr="00AB662B" w:rsidRDefault="009C6759" w:rsidP="00AB662B">
      <w:pPr>
        <w:spacing w:after="0" w:line="360" w:lineRule="auto"/>
        <w:jc w:val="both"/>
        <w:rPr>
          <w:rFonts w:ascii="Times New Roman" w:eastAsia="Times New Roman" w:hAnsi="Times New Roman" w:cs="Times New Roman"/>
          <w:sz w:val="23"/>
          <w:szCs w:val="23"/>
          <w:lang w:eastAsia="tr-TR"/>
        </w:rPr>
      </w:pPr>
    </w:p>
    <w:p w:rsidR="00AB662B" w:rsidRDefault="00AB662B" w:rsidP="00AB662B">
      <w:pPr>
        <w:spacing w:after="0" w:line="240" w:lineRule="auto"/>
        <w:rPr>
          <w:rFonts w:ascii="Times New Roman" w:eastAsia="Times New Roman" w:hAnsi="Times New Roman" w:cs="Times New Roman"/>
          <w:sz w:val="23"/>
          <w:szCs w:val="23"/>
          <w:lang w:eastAsia="tr-TR"/>
        </w:rPr>
      </w:pPr>
      <w:r w:rsidRPr="00AB662B">
        <w:rPr>
          <w:rFonts w:ascii="Times New Roman" w:eastAsia="Times New Roman" w:hAnsi="Times New Roman" w:cs="Times New Roman"/>
          <w:b/>
          <w:color w:val="FF0000"/>
          <w:sz w:val="24"/>
          <w:szCs w:val="24"/>
          <w:lang w:eastAsia="tr-TR"/>
        </w:rPr>
        <w:t xml:space="preserve">          </w:t>
      </w:r>
      <w:r w:rsidRPr="00AB662B">
        <w:rPr>
          <w:rFonts w:ascii="Times New Roman" w:eastAsia="Times New Roman" w:hAnsi="Times New Roman" w:cs="Times New Roman"/>
          <w:b/>
          <w:sz w:val="24"/>
          <w:szCs w:val="24"/>
          <w:lang w:eastAsia="tr-TR"/>
        </w:rPr>
        <w:t>2017-2018</w:t>
      </w:r>
      <w:r w:rsidR="004D3D87">
        <w:rPr>
          <w:rFonts w:ascii="Times New Roman" w:eastAsia="Times New Roman" w:hAnsi="Times New Roman" w:cs="Times New Roman"/>
          <w:b/>
          <w:sz w:val="24"/>
          <w:szCs w:val="24"/>
          <w:lang w:eastAsia="tr-TR"/>
        </w:rPr>
        <w:t xml:space="preserve"> </w:t>
      </w:r>
      <w:r w:rsidRPr="00AB662B">
        <w:rPr>
          <w:rFonts w:ascii="Times New Roman" w:eastAsia="Times New Roman" w:hAnsi="Times New Roman" w:cs="Times New Roman"/>
          <w:b/>
          <w:sz w:val="24"/>
          <w:szCs w:val="24"/>
          <w:lang w:eastAsia="tr-TR"/>
        </w:rPr>
        <w:t>Yılları Ocak-Haziran Döneminde Personel Giderleri Gerçekleşmeleri</w:t>
      </w:r>
      <w:r w:rsidRPr="00AB662B">
        <w:rPr>
          <w:rFonts w:ascii="Times New Roman" w:eastAsia="Times New Roman" w:hAnsi="Times New Roman" w:cs="Times New Roman"/>
          <w:sz w:val="23"/>
          <w:szCs w:val="23"/>
          <w:lang w:eastAsia="tr-TR"/>
        </w:rPr>
        <w:t xml:space="preserve"> </w:t>
      </w:r>
    </w:p>
    <w:p w:rsidR="009C6759" w:rsidRPr="00AB662B" w:rsidRDefault="009C6759" w:rsidP="00AB662B">
      <w:pPr>
        <w:spacing w:after="0" w:line="240" w:lineRule="auto"/>
        <w:rPr>
          <w:rFonts w:ascii="Times New Roman" w:eastAsia="Times New Roman" w:hAnsi="Times New Roman" w:cs="Times New Roman"/>
          <w:b/>
          <w:noProof/>
          <w:sz w:val="24"/>
          <w:szCs w:val="24"/>
          <w:lang w:eastAsia="tr-TR"/>
        </w:rPr>
      </w:pPr>
    </w:p>
    <w:p w:rsidR="00AB662B" w:rsidRPr="00AB662B" w:rsidRDefault="003762DF" w:rsidP="00AB662B">
      <w:pPr>
        <w:spacing w:after="0" w:line="240" w:lineRule="auto"/>
        <w:jc w:val="both"/>
        <w:rPr>
          <w:rFonts w:ascii="Times New Roman" w:eastAsia="Times New Roman" w:hAnsi="Times New Roman" w:cs="Times New Roman"/>
          <w:sz w:val="23"/>
          <w:szCs w:val="23"/>
          <w:lang w:eastAsia="tr-TR"/>
        </w:rPr>
      </w:pPr>
      <w:r>
        <w:rPr>
          <w:noProof/>
          <w:lang w:eastAsia="tr-TR"/>
        </w:rPr>
        <w:drawing>
          <wp:inline distT="0" distB="0" distL="0" distR="0" wp14:anchorId="7E32BD72" wp14:editId="7B9AC4AF">
            <wp:extent cx="6220838" cy="3764604"/>
            <wp:effectExtent l="0" t="0" r="27940" b="26670"/>
            <wp:docPr id="37"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47A81" w:rsidRDefault="003762DF" w:rsidP="003762DF">
      <w:pPr>
        <w:spacing w:after="0" w:line="240" w:lineRule="auto"/>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 xml:space="preserve">       </w:t>
      </w:r>
    </w:p>
    <w:p w:rsidR="00247A81" w:rsidRDefault="00247A81" w:rsidP="003762DF">
      <w:pPr>
        <w:spacing w:after="0" w:line="240" w:lineRule="auto"/>
        <w:rPr>
          <w:rFonts w:ascii="Times New Roman" w:eastAsia="Times New Roman" w:hAnsi="Times New Roman" w:cs="Times New Roman"/>
          <w:b/>
          <w:color w:val="FF0000"/>
          <w:sz w:val="24"/>
          <w:szCs w:val="24"/>
          <w:lang w:eastAsia="tr-TR"/>
        </w:rPr>
      </w:pPr>
    </w:p>
    <w:p w:rsidR="00247A81" w:rsidRDefault="00247A81" w:rsidP="003762DF">
      <w:pPr>
        <w:spacing w:after="0" w:line="240" w:lineRule="auto"/>
        <w:rPr>
          <w:rFonts w:ascii="Times New Roman" w:eastAsia="Times New Roman" w:hAnsi="Times New Roman" w:cs="Times New Roman"/>
          <w:b/>
          <w:color w:val="FF0000"/>
          <w:sz w:val="24"/>
          <w:szCs w:val="24"/>
          <w:lang w:eastAsia="tr-TR"/>
        </w:rPr>
      </w:pPr>
    </w:p>
    <w:p w:rsidR="00AB662B" w:rsidRDefault="00437639" w:rsidP="003762DF">
      <w:pPr>
        <w:spacing w:after="0" w:line="240" w:lineRule="auto"/>
        <w:rPr>
          <w:rFonts w:ascii="Times New Roman" w:eastAsia="Times New Roman" w:hAnsi="Times New Roman" w:cs="Times New Roman"/>
          <w:color w:val="FF0000"/>
          <w:sz w:val="24"/>
          <w:szCs w:val="24"/>
          <w:lang w:eastAsia="tr-TR"/>
        </w:rPr>
      </w:pPr>
      <w:r>
        <w:rPr>
          <w:noProof/>
          <w:lang w:eastAsia="tr-TR"/>
        </w:rPr>
        <w:drawing>
          <wp:inline distT="0" distB="0" distL="0" distR="0" wp14:anchorId="72D865C9" wp14:editId="72C5D4DD">
            <wp:extent cx="6347298" cy="2806430"/>
            <wp:effectExtent l="0" t="0" r="34925" b="32385"/>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7A81" w:rsidRDefault="00247A81" w:rsidP="003762DF">
      <w:pPr>
        <w:spacing w:after="0" w:line="240" w:lineRule="auto"/>
        <w:rPr>
          <w:rFonts w:ascii="Times New Roman" w:eastAsia="Times New Roman" w:hAnsi="Times New Roman" w:cs="Times New Roman"/>
          <w:color w:val="FF0000"/>
          <w:sz w:val="24"/>
          <w:szCs w:val="24"/>
          <w:lang w:eastAsia="tr-TR"/>
        </w:rPr>
      </w:pPr>
    </w:p>
    <w:p w:rsidR="003022CB" w:rsidRPr="009C6759" w:rsidRDefault="003022CB" w:rsidP="003762DF">
      <w:pPr>
        <w:spacing w:after="0" w:line="240" w:lineRule="auto"/>
        <w:rPr>
          <w:rFonts w:ascii="Times New Roman" w:eastAsia="Times New Roman" w:hAnsi="Times New Roman" w:cs="Times New Roman"/>
          <w:color w:val="FF0000"/>
          <w:sz w:val="24"/>
          <w:szCs w:val="24"/>
          <w:lang w:eastAsia="tr-TR"/>
        </w:rPr>
      </w:pPr>
    </w:p>
    <w:p w:rsidR="00AB662B" w:rsidRPr="00247A81" w:rsidRDefault="00AB662B" w:rsidP="00247A81">
      <w:pPr>
        <w:numPr>
          <w:ilvl w:val="0"/>
          <w:numId w:val="2"/>
        </w:numPr>
        <w:spacing w:after="0" w:line="360" w:lineRule="auto"/>
        <w:jc w:val="both"/>
        <w:rPr>
          <w:rFonts w:ascii="Times New Roman" w:eastAsia="Times New Roman" w:hAnsi="Times New Roman" w:cs="Times New Roman"/>
          <w:b/>
          <w:sz w:val="24"/>
          <w:szCs w:val="24"/>
          <w:lang w:eastAsia="tr-TR"/>
        </w:rPr>
      </w:pPr>
      <w:r w:rsidRPr="00247A81">
        <w:rPr>
          <w:rFonts w:ascii="Times New Roman" w:eastAsia="Times New Roman" w:hAnsi="Times New Roman" w:cs="Times New Roman"/>
          <w:b/>
          <w:sz w:val="24"/>
          <w:szCs w:val="24"/>
          <w:lang w:eastAsia="tr-TR"/>
        </w:rPr>
        <w:lastRenderedPageBreak/>
        <w:t>Sosyal Güvenlik Kurumuna Devlet Primi Giderleri</w:t>
      </w:r>
    </w:p>
    <w:p w:rsidR="00AB662B" w:rsidRPr="00AB662B" w:rsidRDefault="00AB662B" w:rsidP="00AB662B">
      <w:pPr>
        <w:spacing w:after="0" w:line="360" w:lineRule="auto"/>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ab/>
        <w:t>2018 yılı Ocak-Haziran Dönemi sosyal güvenlik kurumuna devlet primi giderlerin</w:t>
      </w:r>
      <w:r w:rsidR="0005595E">
        <w:rPr>
          <w:rFonts w:ascii="Times New Roman" w:eastAsia="Times New Roman" w:hAnsi="Times New Roman" w:cs="Times New Roman"/>
          <w:sz w:val="24"/>
          <w:szCs w:val="24"/>
          <w:lang w:eastAsia="tr-TR"/>
        </w:rPr>
        <w:t>in harcama içindeki oranı</w:t>
      </w:r>
      <w:r w:rsidRPr="00AB662B">
        <w:rPr>
          <w:rFonts w:ascii="Times New Roman" w:eastAsia="Times New Roman" w:hAnsi="Times New Roman" w:cs="Times New Roman"/>
          <w:sz w:val="24"/>
          <w:szCs w:val="24"/>
          <w:lang w:eastAsia="tr-TR"/>
        </w:rPr>
        <w:t xml:space="preserve"> %2,37 olmuştur. 2018 yılı</w:t>
      </w:r>
      <w:r w:rsidR="0005595E">
        <w:rPr>
          <w:rFonts w:ascii="Times New Roman" w:eastAsia="Times New Roman" w:hAnsi="Times New Roman" w:cs="Times New Roman"/>
          <w:sz w:val="24"/>
          <w:szCs w:val="24"/>
          <w:lang w:eastAsia="tr-TR"/>
        </w:rPr>
        <w:t xml:space="preserve"> ilk altı aylık dönemde bütçesinin</w:t>
      </w:r>
      <w:r w:rsidRPr="00AB662B">
        <w:rPr>
          <w:rFonts w:ascii="Times New Roman" w:eastAsia="Times New Roman" w:hAnsi="Times New Roman" w:cs="Times New Roman"/>
          <w:sz w:val="24"/>
          <w:szCs w:val="24"/>
          <w:lang w:eastAsia="tr-TR"/>
        </w:rPr>
        <w:t xml:space="preserve"> %39,94’ü oranında bir gerçekleşme olmuştur.</w:t>
      </w:r>
    </w:p>
    <w:p w:rsidR="00AB662B" w:rsidRPr="00AB662B" w:rsidRDefault="00AB662B" w:rsidP="00AB662B">
      <w:pPr>
        <w:spacing w:after="0" w:line="360" w:lineRule="auto"/>
        <w:jc w:val="both"/>
        <w:rPr>
          <w:rFonts w:ascii="Times New Roman" w:eastAsia="Times New Roman" w:hAnsi="Times New Roman" w:cs="Times New Roman"/>
          <w:color w:val="FF0000"/>
          <w:sz w:val="24"/>
          <w:szCs w:val="24"/>
          <w:lang w:eastAsia="tr-TR"/>
        </w:rPr>
      </w:pPr>
    </w:p>
    <w:p w:rsidR="00AB662B" w:rsidRPr="00AB662B" w:rsidRDefault="0005595E"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447E482F" wp14:editId="01B45903">
            <wp:extent cx="6388847" cy="3854823"/>
            <wp:effectExtent l="0" t="0" r="12065"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047A" w:rsidRDefault="00A2047A" w:rsidP="00AB662B">
      <w:pPr>
        <w:spacing w:after="0" w:line="360" w:lineRule="auto"/>
        <w:jc w:val="both"/>
        <w:rPr>
          <w:rFonts w:ascii="Times New Roman" w:eastAsia="Times New Roman" w:hAnsi="Times New Roman" w:cs="Times New Roman"/>
          <w:color w:val="FF0000"/>
          <w:sz w:val="24"/>
          <w:szCs w:val="24"/>
          <w:lang w:eastAsia="tr-TR"/>
        </w:rPr>
      </w:pPr>
    </w:p>
    <w:p w:rsidR="00247A81" w:rsidRDefault="00247A81" w:rsidP="00AB662B">
      <w:pPr>
        <w:spacing w:after="0" w:line="360" w:lineRule="auto"/>
        <w:jc w:val="both"/>
        <w:rPr>
          <w:rFonts w:ascii="Times New Roman" w:eastAsia="Times New Roman" w:hAnsi="Times New Roman" w:cs="Times New Roman"/>
          <w:color w:val="FF0000"/>
          <w:sz w:val="24"/>
          <w:szCs w:val="24"/>
          <w:lang w:eastAsia="tr-TR"/>
        </w:rPr>
      </w:pPr>
    </w:p>
    <w:p w:rsidR="00AB662B" w:rsidRPr="00AB662B" w:rsidRDefault="0005595E" w:rsidP="00AB662B">
      <w:pPr>
        <w:spacing w:after="0" w:line="360" w:lineRule="auto"/>
        <w:jc w:val="both"/>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5FE3619C" wp14:editId="27159513">
            <wp:extent cx="6358964" cy="2791012"/>
            <wp:effectExtent l="0" t="0" r="41910" b="2857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750A3" w:rsidRPr="00F750A3" w:rsidRDefault="00F750A3" w:rsidP="00F750A3">
      <w:pPr>
        <w:autoSpaceDE w:val="0"/>
        <w:autoSpaceDN w:val="0"/>
        <w:adjustRightInd w:val="0"/>
        <w:spacing w:after="0" w:line="240" w:lineRule="auto"/>
        <w:ind w:left="720"/>
        <w:rPr>
          <w:rFonts w:ascii="Arial" w:eastAsia="Times New Roman" w:hAnsi="Arial" w:cs="Arial"/>
          <w:lang w:eastAsia="tr-TR"/>
        </w:rPr>
      </w:pPr>
    </w:p>
    <w:p w:rsidR="00AB662B" w:rsidRPr="008F55DD" w:rsidRDefault="00247A81" w:rsidP="008F55DD">
      <w:pPr>
        <w:numPr>
          <w:ilvl w:val="0"/>
          <w:numId w:val="2"/>
        </w:numPr>
        <w:autoSpaceDE w:val="0"/>
        <w:autoSpaceDN w:val="0"/>
        <w:adjustRightInd w:val="0"/>
        <w:spacing w:after="0" w:line="240" w:lineRule="auto"/>
        <w:rPr>
          <w:rFonts w:ascii="Arial" w:eastAsia="Times New Roman" w:hAnsi="Arial" w:cs="Arial"/>
          <w:lang w:eastAsia="tr-TR"/>
        </w:rPr>
      </w:pPr>
      <w:r>
        <w:rPr>
          <w:rFonts w:ascii="Arial" w:eastAsia="Times New Roman" w:hAnsi="Arial" w:cs="Arial"/>
          <w:b/>
          <w:bCs/>
          <w:lang w:eastAsia="tr-TR"/>
        </w:rPr>
        <w:lastRenderedPageBreak/>
        <w:t>M</w:t>
      </w:r>
      <w:r w:rsidR="00AB662B" w:rsidRPr="008F55DD">
        <w:rPr>
          <w:rFonts w:ascii="Arial" w:eastAsia="Times New Roman" w:hAnsi="Arial" w:cs="Arial"/>
          <w:b/>
          <w:bCs/>
          <w:lang w:eastAsia="tr-TR"/>
        </w:rPr>
        <w:t xml:space="preserve">al ve Hizmet Alım Giderleri </w:t>
      </w: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p>
    <w:p w:rsid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r>
      <w:proofErr w:type="gramStart"/>
      <w:r w:rsidRPr="00AB662B">
        <w:rPr>
          <w:rFonts w:ascii="Times New Roman" w:eastAsia="Times New Roman" w:hAnsi="Times New Roman" w:cs="Times New Roman"/>
          <w:sz w:val="23"/>
          <w:szCs w:val="23"/>
          <w:lang w:eastAsia="tr-TR"/>
        </w:rPr>
        <w:t xml:space="preserve">2018 yılı Ocak-Haziran döneminde; temsil ve tanıtma giderleri, park bahçe düzenlemeleri, katı atıkların işlenmesi ve geri kazanımı, yolların meydanların geçitlerin temizliği, kentsel dönüşüm projeleri, destek personeli hizmet alımları, </w:t>
      </w:r>
      <w:r w:rsidR="00420D48">
        <w:rPr>
          <w:rFonts w:ascii="Times New Roman" w:eastAsia="Times New Roman" w:hAnsi="Times New Roman" w:cs="Times New Roman"/>
          <w:sz w:val="23"/>
          <w:szCs w:val="23"/>
          <w:lang w:eastAsia="tr-TR"/>
        </w:rPr>
        <w:t>Belediyemiz ve sosyal tesis işletmemiz için üretim-</w:t>
      </w:r>
      <w:r w:rsidRPr="00AB662B">
        <w:rPr>
          <w:rFonts w:ascii="Times New Roman" w:eastAsia="Times New Roman" w:hAnsi="Times New Roman" w:cs="Times New Roman"/>
          <w:sz w:val="23"/>
          <w:szCs w:val="23"/>
          <w:lang w:eastAsia="tr-TR"/>
        </w:rPr>
        <w:t xml:space="preserve">tüketime dönük mal ve malzeme alımları, yolluklar, görev giderleri, haberleşme giderleri, kira giderleri, hizmet binalarının bakım onarım giderlerinden oluşan mal ve hizmet alım giderleri için toplam </w:t>
      </w:r>
      <w:r w:rsidR="0052711A">
        <w:rPr>
          <w:rFonts w:ascii="Times New Roman" w:eastAsia="Times New Roman" w:hAnsi="Times New Roman" w:cs="Times New Roman"/>
          <w:bCs/>
          <w:color w:val="000000"/>
          <w:sz w:val="23"/>
          <w:szCs w:val="23"/>
          <w:lang w:eastAsia="tr-TR"/>
        </w:rPr>
        <w:t>58.581.686,61</w:t>
      </w:r>
      <w:r w:rsidRPr="00AB662B">
        <w:rPr>
          <w:rFonts w:ascii="Times New Roman" w:eastAsia="Times New Roman" w:hAnsi="Times New Roman" w:cs="Times New Roman"/>
          <w:bCs/>
          <w:color w:val="000000"/>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harcama yapılmıştır.</w:t>
      </w:r>
      <w:r w:rsidR="00247A81">
        <w:rPr>
          <w:rFonts w:ascii="Times New Roman" w:eastAsia="Times New Roman" w:hAnsi="Times New Roman" w:cs="Times New Roman"/>
          <w:sz w:val="23"/>
          <w:szCs w:val="23"/>
          <w:lang w:eastAsia="tr-TR"/>
        </w:rPr>
        <w:t xml:space="preserve"> </w:t>
      </w:r>
      <w:proofErr w:type="gramEnd"/>
      <w:r w:rsidR="00247A81">
        <w:rPr>
          <w:rFonts w:ascii="Times New Roman" w:eastAsia="Times New Roman" w:hAnsi="Times New Roman" w:cs="Times New Roman"/>
          <w:sz w:val="23"/>
          <w:szCs w:val="23"/>
          <w:lang w:eastAsia="tr-TR"/>
        </w:rPr>
        <w:tab/>
      </w:r>
      <w:r w:rsidRPr="00AB662B">
        <w:rPr>
          <w:rFonts w:ascii="Times New Roman" w:eastAsia="Times New Roman" w:hAnsi="Times New Roman" w:cs="Times New Roman"/>
          <w:sz w:val="23"/>
          <w:szCs w:val="23"/>
          <w:lang w:eastAsia="tr-TR"/>
        </w:rPr>
        <w:t>2018 yılında Mal ve hizmet alım giderlerinin bütçelerine göre gerçekleşme oran</w:t>
      </w:r>
      <w:r w:rsidR="00247A81">
        <w:rPr>
          <w:rFonts w:ascii="Times New Roman" w:eastAsia="Times New Roman" w:hAnsi="Times New Roman" w:cs="Times New Roman"/>
          <w:sz w:val="23"/>
          <w:szCs w:val="23"/>
          <w:lang w:eastAsia="tr-TR"/>
        </w:rPr>
        <w:t xml:space="preserve">ı </w:t>
      </w:r>
      <w:r w:rsidRPr="00AB662B">
        <w:rPr>
          <w:rFonts w:ascii="Times New Roman" w:eastAsia="Times New Roman" w:hAnsi="Times New Roman" w:cs="Times New Roman"/>
          <w:sz w:val="23"/>
          <w:szCs w:val="23"/>
          <w:lang w:eastAsia="tr-TR"/>
        </w:rPr>
        <w:t xml:space="preserve">yılın ilk altı ayında </w:t>
      </w:r>
      <w:r w:rsidR="008F55DD">
        <w:rPr>
          <w:rFonts w:ascii="Times New Roman" w:eastAsia="Times New Roman" w:hAnsi="Times New Roman" w:cs="Times New Roman"/>
          <w:sz w:val="23"/>
          <w:szCs w:val="23"/>
          <w:lang w:eastAsia="tr-TR"/>
        </w:rPr>
        <w:t>% 45,28 olarak gerçekleşmiştir.</w:t>
      </w:r>
    </w:p>
    <w:p w:rsidR="00247A81" w:rsidRPr="008F55DD" w:rsidRDefault="00247A81" w:rsidP="00AB662B">
      <w:pPr>
        <w:spacing w:after="0" w:line="360" w:lineRule="auto"/>
        <w:jc w:val="both"/>
        <w:rPr>
          <w:rFonts w:ascii="Times New Roman" w:eastAsia="Times New Roman" w:hAnsi="Times New Roman" w:cs="Times New Roman"/>
          <w:sz w:val="23"/>
          <w:szCs w:val="23"/>
          <w:lang w:eastAsia="tr-TR"/>
        </w:rPr>
      </w:pPr>
    </w:p>
    <w:p w:rsidR="00AB662B" w:rsidRPr="00AB662B" w:rsidRDefault="0005595E" w:rsidP="00AB662B">
      <w:pPr>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3743A427" wp14:editId="1C79045B">
            <wp:extent cx="6352988" cy="3460376"/>
            <wp:effectExtent l="0" t="0" r="10160" b="2603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750A3" w:rsidRDefault="00F750A3" w:rsidP="00AB662B">
      <w:pPr>
        <w:spacing w:after="0" w:line="360" w:lineRule="auto"/>
        <w:jc w:val="both"/>
        <w:rPr>
          <w:rFonts w:ascii="Times New Roman" w:eastAsia="Times New Roman" w:hAnsi="Times New Roman" w:cs="Times New Roman"/>
          <w:noProof/>
          <w:sz w:val="24"/>
          <w:szCs w:val="24"/>
          <w:lang w:eastAsia="tr-TR"/>
        </w:rPr>
      </w:pPr>
    </w:p>
    <w:p w:rsidR="00F750A3" w:rsidRPr="00AB662B" w:rsidRDefault="00F750A3" w:rsidP="00AB662B">
      <w:pPr>
        <w:spacing w:after="0" w:line="360" w:lineRule="auto"/>
        <w:jc w:val="both"/>
        <w:rPr>
          <w:rFonts w:ascii="Times New Roman" w:eastAsia="Times New Roman" w:hAnsi="Times New Roman" w:cs="Times New Roman"/>
          <w:noProof/>
          <w:sz w:val="24"/>
          <w:szCs w:val="24"/>
          <w:lang w:eastAsia="tr-TR"/>
        </w:rPr>
      </w:pPr>
      <w:r>
        <w:rPr>
          <w:noProof/>
          <w:lang w:eastAsia="tr-TR"/>
        </w:rPr>
        <w:drawing>
          <wp:inline distT="0" distB="0" distL="0" distR="0" wp14:anchorId="5D431718" wp14:editId="175FCE80">
            <wp:extent cx="6352988" cy="2659529"/>
            <wp:effectExtent l="0" t="0" r="29210" b="4572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9962"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334"/>
        <w:gridCol w:w="1901"/>
        <w:gridCol w:w="1727"/>
      </w:tblGrid>
      <w:tr w:rsidR="00AB662B" w:rsidRPr="00AB662B" w:rsidTr="00F750A3">
        <w:trPr>
          <w:trHeight w:val="465"/>
        </w:trPr>
        <w:tc>
          <w:tcPr>
            <w:tcW w:w="6334"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8"/>
                <w:szCs w:val="16"/>
                <w:lang w:eastAsia="tr-TR"/>
              </w:rPr>
            </w:pPr>
            <w:r w:rsidRPr="00AB662B">
              <w:rPr>
                <w:rFonts w:ascii="Arial" w:eastAsia="Times New Roman" w:hAnsi="Arial" w:cs="Arial"/>
                <w:b/>
                <w:bCs/>
                <w:color w:val="800000"/>
                <w:sz w:val="18"/>
                <w:szCs w:val="16"/>
                <w:lang w:eastAsia="tr-TR"/>
              </w:rPr>
              <w:lastRenderedPageBreak/>
              <w:t>AÇIKLAMA</w:t>
            </w:r>
          </w:p>
        </w:tc>
        <w:tc>
          <w:tcPr>
            <w:tcW w:w="1901"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AB662B" w:rsidP="00AB662B">
            <w:pPr>
              <w:spacing w:after="0" w:line="240" w:lineRule="auto"/>
              <w:jc w:val="center"/>
              <w:rPr>
                <w:rFonts w:ascii="Arial" w:eastAsia="Times New Roman" w:hAnsi="Arial" w:cs="Arial"/>
                <w:b/>
                <w:bCs/>
                <w:color w:val="800000"/>
                <w:sz w:val="18"/>
                <w:szCs w:val="16"/>
                <w:lang w:eastAsia="tr-TR"/>
              </w:rPr>
            </w:pPr>
            <w:r w:rsidRPr="00AB662B">
              <w:rPr>
                <w:rFonts w:ascii="Arial" w:eastAsia="Times New Roman" w:hAnsi="Arial" w:cs="Arial"/>
                <w:b/>
                <w:bCs/>
                <w:color w:val="800000"/>
                <w:sz w:val="18"/>
                <w:szCs w:val="16"/>
                <w:lang w:eastAsia="tr-TR"/>
              </w:rPr>
              <w:t>BÜTÇE</w:t>
            </w:r>
          </w:p>
        </w:tc>
        <w:tc>
          <w:tcPr>
            <w:tcW w:w="1727" w:type="dxa"/>
            <w:tcBorders>
              <w:top w:val="single" w:sz="8" w:space="0" w:color="FFFFFF"/>
              <w:left w:val="single" w:sz="8" w:space="0" w:color="FFFFFF"/>
              <w:bottom w:val="single" w:sz="24" w:space="0" w:color="FFFFFF"/>
              <w:right w:val="single" w:sz="8" w:space="0" w:color="FFFFFF"/>
            </w:tcBorders>
            <w:shd w:val="clear" w:color="auto"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8"/>
                <w:szCs w:val="16"/>
                <w:lang w:eastAsia="tr-TR"/>
              </w:rPr>
            </w:pPr>
            <w:r w:rsidRPr="00AB662B">
              <w:rPr>
                <w:rFonts w:ascii="Arial" w:eastAsia="Times New Roman" w:hAnsi="Arial" w:cs="Arial"/>
                <w:b/>
                <w:bCs/>
                <w:color w:val="800000"/>
                <w:sz w:val="18"/>
                <w:szCs w:val="16"/>
                <w:lang w:eastAsia="tr-TR"/>
              </w:rPr>
              <w:t>GERÇEKLEŞEN</w:t>
            </w:r>
          </w:p>
        </w:tc>
      </w:tr>
      <w:tr w:rsidR="00AB662B" w:rsidRPr="00AB662B" w:rsidTr="00F750A3">
        <w:trPr>
          <w:trHeight w:val="465"/>
        </w:trPr>
        <w:tc>
          <w:tcPr>
            <w:tcW w:w="6334"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ÜRETİME YÖNELİK MAL VE MALZEME ALIMLARI</w:t>
            </w:r>
          </w:p>
        </w:tc>
        <w:tc>
          <w:tcPr>
            <w:tcW w:w="190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603.000,00</w:t>
            </w:r>
          </w:p>
        </w:tc>
        <w:tc>
          <w:tcPr>
            <w:tcW w:w="17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951.524,17</w:t>
            </w:r>
          </w:p>
        </w:tc>
      </w:tr>
      <w:tr w:rsidR="00AB662B" w:rsidRPr="00AB662B" w:rsidTr="00F750A3">
        <w:trPr>
          <w:trHeight w:val="465"/>
        </w:trPr>
        <w:tc>
          <w:tcPr>
            <w:tcW w:w="6334"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TÜKETİME YÖNELİK MAL VE MALZEME ALIMLARI</w:t>
            </w:r>
          </w:p>
        </w:tc>
        <w:tc>
          <w:tcPr>
            <w:tcW w:w="1901"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22.048.000,00</w:t>
            </w:r>
          </w:p>
        </w:tc>
        <w:tc>
          <w:tcPr>
            <w:tcW w:w="1727"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9.584.613,32</w:t>
            </w:r>
          </w:p>
        </w:tc>
      </w:tr>
      <w:tr w:rsidR="00AB662B" w:rsidRPr="00AB662B" w:rsidTr="00F750A3">
        <w:trPr>
          <w:trHeight w:val="465"/>
        </w:trPr>
        <w:tc>
          <w:tcPr>
            <w:tcW w:w="6334"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YOLLUKLAR</w:t>
            </w:r>
          </w:p>
        </w:tc>
        <w:tc>
          <w:tcPr>
            <w:tcW w:w="190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105.000,00</w:t>
            </w:r>
          </w:p>
        </w:tc>
        <w:tc>
          <w:tcPr>
            <w:tcW w:w="17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9.535,18</w:t>
            </w:r>
          </w:p>
        </w:tc>
      </w:tr>
      <w:tr w:rsidR="00AB662B" w:rsidRPr="00AB662B" w:rsidTr="00F750A3">
        <w:trPr>
          <w:trHeight w:val="465"/>
        </w:trPr>
        <w:tc>
          <w:tcPr>
            <w:tcW w:w="6334"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GÖREV GİDERLERİ</w:t>
            </w:r>
          </w:p>
        </w:tc>
        <w:tc>
          <w:tcPr>
            <w:tcW w:w="1901"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877.000,00</w:t>
            </w:r>
          </w:p>
        </w:tc>
        <w:tc>
          <w:tcPr>
            <w:tcW w:w="1727"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321.626,91</w:t>
            </w:r>
          </w:p>
        </w:tc>
      </w:tr>
      <w:tr w:rsidR="00AB662B" w:rsidRPr="00AB662B" w:rsidTr="00F750A3">
        <w:trPr>
          <w:trHeight w:val="465"/>
        </w:trPr>
        <w:tc>
          <w:tcPr>
            <w:tcW w:w="6334"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HİZMET ALIMLARI</w:t>
            </w:r>
          </w:p>
        </w:tc>
        <w:tc>
          <w:tcPr>
            <w:tcW w:w="190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92.526.000,00</w:t>
            </w:r>
          </w:p>
        </w:tc>
        <w:tc>
          <w:tcPr>
            <w:tcW w:w="17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42.249.292,87</w:t>
            </w:r>
          </w:p>
        </w:tc>
      </w:tr>
      <w:tr w:rsidR="00AB662B" w:rsidRPr="00AB662B" w:rsidTr="00F750A3">
        <w:trPr>
          <w:trHeight w:val="465"/>
        </w:trPr>
        <w:tc>
          <w:tcPr>
            <w:tcW w:w="6334"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TEMSİL VE TANITMA GİDERLERİ</w:t>
            </w:r>
          </w:p>
        </w:tc>
        <w:tc>
          <w:tcPr>
            <w:tcW w:w="1901"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4.380.000,00</w:t>
            </w:r>
          </w:p>
        </w:tc>
        <w:tc>
          <w:tcPr>
            <w:tcW w:w="1727"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2.706.207,22</w:t>
            </w:r>
          </w:p>
        </w:tc>
      </w:tr>
      <w:tr w:rsidR="00AB662B" w:rsidRPr="00AB662B" w:rsidTr="00F750A3">
        <w:trPr>
          <w:trHeight w:val="465"/>
        </w:trPr>
        <w:tc>
          <w:tcPr>
            <w:tcW w:w="6334"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 xml:space="preserve">MENKUL MAL GAYRİMADDİ HAK </w:t>
            </w:r>
            <w:proofErr w:type="gramStart"/>
            <w:r w:rsidRPr="00AB662B">
              <w:rPr>
                <w:rFonts w:ascii="Calibri" w:eastAsia="Times New Roman" w:hAnsi="Calibri" w:cs="Arial"/>
                <w:b/>
                <w:color w:val="8E0000"/>
                <w:sz w:val="18"/>
                <w:szCs w:val="18"/>
                <w:lang w:eastAsia="tr-TR"/>
              </w:rPr>
              <w:t>ALIM  BAKIM</w:t>
            </w:r>
            <w:proofErr w:type="gramEnd"/>
            <w:r w:rsidRPr="00AB662B">
              <w:rPr>
                <w:rFonts w:ascii="Calibri" w:eastAsia="Times New Roman" w:hAnsi="Calibri" w:cs="Arial"/>
                <w:b/>
                <w:color w:val="8E0000"/>
                <w:sz w:val="18"/>
                <w:szCs w:val="18"/>
                <w:lang w:eastAsia="tr-TR"/>
              </w:rPr>
              <w:t xml:space="preserve"> VE ONARIM GİDERLERİ</w:t>
            </w:r>
          </w:p>
        </w:tc>
        <w:tc>
          <w:tcPr>
            <w:tcW w:w="190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8.297.000,00</w:t>
            </w:r>
          </w:p>
        </w:tc>
        <w:tc>
          <w:tcPr>
            <w:tcW w:w="17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2.357.955,07</w:t>
            </w:r>
          </w:p>
        </w:tc>
      </w:tr>
      <w:tr w:rsidR="00AB662B" w:rsidRPr="00AB662B" w:rsidTr="00F750A3">
        <w:trPr>
          <w:trHeight w:val="465"/>
        </w:trPr>
        <w:tc>
          <w:tcPr>
            <w:tcW w:w="6334"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GAYRİMENKUL MAL BAKIM VE ONARIM GİDERLERİ</w:t>
            </w:r>
          </w:p>
        </w:tc>
        <w:tc>
          <w:tcPr>
            <w:tcW w:w="1901"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550.000,00</w:t>
            </w:r>
          </w:p>
        </w:tc>
        <w:tc>
          <w:tcPr>
            <w:tcW w:w="1727"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400.931,87</w:t>
            </w:r>
          </w:p>
        </w:tc>
      </w:tr>
      <w:tr w:rsidR="00AB662B" w:rsidRPr="00AB662B" w:rsidTr="00F750A3">
        <w:trPr>
          <w:trHeight w:val="465"/>
        </w:trPr>
        <w:tc>
          <w:tcPr>
            <w:tcW w:w="6334"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color w:val="8E0000"/>
                <w:sz w:val="18"/>
                <w:szCs w:val="18"/>
                <w:lang w:eastAsia="tr-TR"/>
              </w:rPr>
            </w:pPr>
            <w:r w:rsidRPr="00AB662B">
              <w:rPr>
                <w:rFonts w:ascii="Calibri" w:eastAsia="Times New Roman" w:hAnsi="Calibri" w:cs="Arial"/>
                <w:b/>
                <w:color w:val="8E0000"/>
                <w:sz w:val="18"/>
                <w:szCs w:val="18"/>
                <w:lang w:eastAsia="tr-TR"/>
              </w:rPr>
              <w:t>TEDAVİ VE CENAZE GİDERLERİ</w:t>
            </w:r>
          </w:p>
        </w:tc>
        <w:tc>
          <w:tcPr>
            <w:tcW w:w="1901"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1.000,00</w:t>
            </w:r>
          </w:p>
        </w:tc>
        <w:tc>
          <w:tcPr>
            <w:tcW w:w="1727"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right"/>
              <w:rPr>
                <w:rFonts w:ascii="Arial" w:eastAsia="Times New Roman" w:hAnsi="Arial" w:cs="Arial"/>
                <w:b/>
                <w:color w:val="943634"/>
                <w:sz w:val="16"/>
                <w:szCs w:val="16"/>
                <w:lang w:eastAsia="tr-TR"/>
              </w:rPr>
            </w:pPr>
            <w:r w:rsidRPr="00AB662B">
              <w:rPr>
                <w:rFonts w:ascii="Arial" w:eastAsia="Times New Roman" w:hAnsi="Arial" w:cs="Arial"/>
                <w:b/>
                <w:color w:val="943634"/>
                <w:sz w:val="16"/>
                <w:szCs w:val="16"/>
                <w:lang w:eastAsia="tr-TR"/>
              </w:rPr>
              <w:t>0,00</w:t>
            </w:r>
          </w:p>
        </w:tc>
      </w:tr>
      <w:tr w:rsidR="00AB662B" w:rsidRPr="00AB662B" w:rsidTr="00F750A3">
        <w:trPr>
          <w:trHeight w:val="465"/>
        </w:trPr>
        <w:tc>
          <w:tcPr>
            <w:tcW w:w="6334" w:type="dxa"/>
            <w:tcBorders>
              <w:left w:val="single" w:sz="8" w:space="0" w:color="FFFFFF"/>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w:b/>
                <w:bCs/>
                <w:color w:val="8E0000"/>
                <w:sz w:val="18"/>
                <w:szCs w:val="18"/>
                <w:lang w:eastAsia="tr-TR"/>
              </w:rPr>
            </w:pPr>
            <w:r w:rsidRPr="00AB662B">
              <w:rPr>
                <w:rFonts w:ascii="Calibri" w:eastAsia="Times New Roman" w:hAnsi="Calibri" w:cs="Arial"/>
                <w:b/>
                <w:bCs/>
                <w:color w:val="8E0000"/>
                <w:sz w:val="18"/>
                <w:szCs w:val="18"/>
                <w:lang w:eastAsia="tr-TR"/>
              </w:rPr>
              <w:t>TOPLAM</w:t>
            </w:r>
          </w:p>
        </w:tc>
        <w:tc>
          <w:tcPr>
            <w:tcW w:w="1901"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129.387.000,00</w:t>
            </w:r>
          </w:p>
        </w:tc>
        <w:tc>
          <w:tcPr>
            <w:tcW w:w="1727" w:type="dxa"/>
            <w:shd w:val="clear" w:color="auto" w:fill="D3DFEE"/>
            <w:noWrap/>
            <w:vAlign w:val="center"/>
            <w:hideMark/>
          </w:tcPr>
          <w:p w:rsidR="00AB662B" w:rsidRPr="00AB662B" w:rsidRDefault="00AB662B" w:rsidP="00AB662B">
            <w:pPr>
              <w:spacing w:after="0" w:line="240" w:lineRule="auto"/>
              <w:jc w:val="right"/>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58.581.686,61</w:t>
            </w:r>
          </w:p>
        </w:tc>
      </w:tr>
    </w:tbl>
    <w:p w:rsidR="00AB662B" w:rsidRDefault="00AB662B" w:rsidP="00AB662B">
      <w:pPr>
        <w:spacing w:after="0" w:line="360" w:lineRule="auto"/>
        <w:jc w:val="both"/>
        <w:rPr>
          <w:rFonts w:ascii="Times New Roman" w:eastAsia="Times New Roman" w:hAnsi="Times New Roman" w:cs="Times New Roman"/>
          <w:noProof/>
          <w:sz w:val="24"/>
          <w:szCs w:val="24"/>
          <w:lang w:eastAsia="tr-TR"/>
        </w:rPr>
      </w:pPr>
    </w:p>
    <w:p w:rsidR="00247A81" w:rsidRPr="00AB662B" w:rsidRDefault="00247A81" w:rsidP="00AB662B">
      <w:pPr>
        <w:spacing w:after="0" w:line="360" w:lineRule="auto"/>
        <w:jc w:val="both"/>
        <w:rPr>
          <w:rFonts w:ascii="Times New Roman" w:eastAsia="Times New Roman" w:hAnsi="Times New Roman" w:cs="Times New Roman"/>
          <w:noProof/>
          <w:sz w:val="24"/>
          <w:szCs w:val="24"/>
          <w:lang w:eastAsia="tr-TR"/>
        </w:rPr>
      </w:pPr>
    </w:p>
    <w:p w:rsidR="00AB662B" w:rsidRPr="00AB662B" w:rsidRDefault="00EC12A6" w:rsidP="00AB662B">
      <w:pPr>
        <w:spacing w:after="0" w:line="360" w:lineRule="auto"/>
        <w:jc w:val="both"/>
        <w:rPr>
          <w:rFonts w:ascii="Times New Roman" w:eastAsia="Times New Roman" w:hAnsi="Times New Roman" w:cs="Times New Roman"/>
          <w:noProof/>
          <w:sz w:val="24"/>
          <w:szCs w:val="24"/>
          <w:lang w:eastAsia="tr-TR"/>
        </w:rPr>
      </w:pPr>
      <w:r>
        <w:rPr>
          <w:noProof/>
          <w:lang w:eastAsia="tr-TR"/>
        </w:rPr>
        <w:drawing>
          <wp:inline distT="0" distB="0" distL="0" distR="0" wp14:anchorId="06BACDE2" wp14:editId="0C8B9F6E">
            <wp:extent cx="6323106" cy="3609788"/>
            <wp:effectExtent l="0" t="0" r="20955" b="1016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50A3" w:rsidRDefault="00F750A3" w:rsidP="00AB662B">
      <w:pPr>
        <w:spacing w:after="0" w:line="360" w:lineRule="auto"/>
        <w:jc w:val="both"/>
        <w:rPr>
          <w:rFonts w:ascii="Times New Roman" w:eastAsia="Times New Roman" w:hAnsi="Times New Roman" w:cs="Times New Roman"/>
          <w:color w:val="FF0000"/>
          <w:sz w:val="23"/>
          <w:szCs w:val="23"/>
          <w:lang w:eastAsia="tr-TR"/>
        </w:rPr>
      </w:pPr>
    </w:p>
    <w:p w:rsidR="00AB662B" w:rsidRPr="00AB662B" w:rsidRDefault="00AB662B" w:rsidP="00AB662B">
      <w:pPr>
        <w:spacing w:after="0" w:line="360" w:lineRule="auto"/>
        <w:jc w:val="both"/>
        <w:rPr>
          <w:rFonts w:ascii="Times New Roman" w:eastAsia="Times New Roman" w:hAnsi="Times New Roman" w:cs="Times New Roman"/>
          <w:color w:val="FF0000"/>
          <w:sz w:val="23"/>
          <w:szCs w:val="23"/>
          <w:lang w:eastAsia="tr-TR"/>
        </w:rPr>
      </w:pPr>
      <w:r w:rsidRPr="00AB662B">
        <w:rPr>
          <w:rFonts w:ascii="Times New Roman" w:eastAsia="Times New Roman" w:hAnsi="Times New Roman" w:cs="Times New Roman"/>
          <w:color w:val="FF0000"/>
          <w:sz w:val="23"/>
          <w:szCs w:val="23"/>
          <w:lang w:eastAsia="tr-TR"/>
        </w:rPr>
        <w:tab/>
      </w:r>
    </w:p>
    <w:p w:rsidR="00247A81" w:rsidRPr="00AB662B" w:rsidRDefault="00AB662B" w:rsidP="00AB662B">
      <w:pPr>
        <w:spacing w:after="0" w:line="360" w:lineRule="auto"/>
        <w:ind w:firstLine="709"/>
        <w:jc w:val="both"/>
        <w:rPr>
          <w:rFonts w:ascii="Arial TUR" w:eastAsia="Times New Roman" w:hAnsi="Arial TUR" w:cs="Arial TUR"/>
          <w:b/>
          <w:bCs/>
          <w:sz w:val="16"/>
          <w:szCs w:val="16"/>
          <w:lang w:eastAsia="tr-TR"/>
        </w:rPr>
      </w:pPr>
      <w:r w:rsidRPr="00AB662B">
        <w:rPr>
          <w:rFonts w:ascii="Times New Roman" w:eastAsia="Times New Roman" w:hAnsi="Times New Roman" w:cs="Times New Roman"/>
          <w:sz w:val="23"/>
          <w:szCs w:val="23"/>
          <w:lang w:eastAsia="tr-TR"/>
        </w:rPr>
        <w:t xml:space="preserve">2018 yılının ilk altı ayında </w:t>
      </w:r>
      <w:r w:rsidRPr="00AB662B">
        <w:rPr>
          <w:rFonts w:ascii="Times New Roman" w:eastAsia="Times New Roman" w:hAnsi="Times New Roman" w:cs="Times New Roman"/>
          <w:bCs/>
          <w:color w:val="000000"/>
          <w:sz w:val="23"/>
          <w:szCs w:val="23"/>
          <w:lang w:eastAsia="tr-TR"/>
        </w:rPr>
        <w:t>58.581.686,61</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gerçekleşen mal ve hizmet alım giderleri içerisinde en önemli payı </w:t>
      </w:r>
      <w:r w:rsidRPr="00AB662B">
        <w:rPr>
          <w:rFonts w:ascii="Times New Roman" w:eastAsia="Times New Roman" w:hAnsi="Times New Roman" w:cs="Times New Roman"/>
          <w:color w:val="000000"/>
          <w:sz w:val="23"/>
          <w:szCs w:val="23"/>
          <w:lang w:eastAsia="tr-TR"/>
        </w:rPr>
        <w:t>42.249.292,87</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ile Hizmet Alımları kalemi almıştır. Bu gider kalemini </w:t>
      </w:r>
      <w:r w:rsidRPr="00AB662B">
        <w:rPr>
          <w:rFonts w:ascii="Times New Roman" w:eastAsia="Times New Roman" w:hAnsi="Times New Roman" w:cs="Times New Roman"/>
          <w:color w:val="000000"/>
          <w:sz w:val="23"/>
          <w:szCs w:val="23"/>
          <w:lang w:eastAsia="tr-TR"/>
        </w:rPr>
        <w:t>9.584.613,32</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ile Tüketime Yönelik Mal ve Hizmet Alımları takip etmektedir.</w:t>
      </w:r>
    </w:p>
    <w:p w:rsidR="00AB662B" w:rsidRDefault="00AB662B" w:rsidP="00AB662B">
      <w:pPr>
        <w:numPr>
          <w:ilvl w:val="0"/>
          <w:numId w:val="2"/>
        </w:numPr>
        <w:autoSpaceDE w:val="0"/>
        <w:autoSpaceDN w:val="0"/>
        <w:adjustRightInd w:val="0"/>
        <w:spacing w:after="0" w:line="360" w:lineRule="auto"/>
        <w:rPr>
          <w:rFonts w:ascii="Arial" w:eastAsia="Times New Roman" w:hAnsi="Arial" w:cs="Arial"/>
          <w:b/>
          <w:bCs/>
          <w:lang w:eastAsia="tr-TR"/>
        </w:rPr>
      </w:pPr>
      <w:r w:rsidRPr="00AB662B">
        <w:rPr>
          <w:rFonts w:ascii="Arial" w:eastAsia="Times New Roman" w:hAnsi="Arial" w:cs="Arial"/>
          <w:b/>
          <w:bCs/>
          <w:lang w:eastAsia="tr-TR"/>
        </w:rPr>
        <w:lastRenderedPageBreak/>
        <w:t xml:space="preserve">Cari Transferler </w:t>
      </w:r>
    </w:p>
    <w:p w:rsidR="00247A81" w:rsidRPr="00AB662B" w:rsidRDefault="00247A81" w:rsidP="00247A81">
      <w:pPr>
        <w:autoSpaceDE w:val="0"/>
        <w:autoSpaceDN w:val="0"/>
        <w:adjustRightInd w:val="0"/>
        <w:spacing w:after="0" w:line="360" w:lineRule="auto"/>
        <w:ind w:left="720"/>
        <w:rPr>
          <w:rFonts w:ascii="Arial" w:eastAsia="Times New Roman" w:hAnsi="Arial" w:cs="Arial"/>
          <w:b/>
          <w:bCs/>
          <w:lang w:eastAsia="tr-TR"/>
        </w:rPr>
      </w:pPr>
    </w:p>
    <w:p w:rsidR="00247A81"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t xml:space="preserve">Mahalli idare birliklerine katılma payları, İller Bankası ortaklık payı, hane halklarına ve öğrencilere yapılan yardımlar,  vb. giderlerimizden oluşan </w:t>
      </w:r>
      <w:r w:rsidRPr="00AB662B">
        <w:rPr>
          <w:rFonts w:ascii="Times New Roman" w:eastAsia="Times New Roman" w:hAnsi="Times New Roman" w:cs="Times New Roman"/>
          <w:bCs/>
          <w:sz w:val="23"/>
          <w:szCs w:val="23"/>
          <w:lang w:eastAsia="tr-TR"/>
        </w:rPr>
        <w:t>Cari transferler</w:t>
      </w:r>
      <w:r w:rsidRPr="00AB662B">
        <w:rPr>
          <w:rFonts w:ascii="Times New Roman" w:eastAsia="Times New Roman" w:hAnsi="Times New Roman" w:cs="Times New Roman"/>
          <w:b/>
          <w:bCs/>
          <w:sz w:val="23"/>
          <w:szCs w:val="23"/>
          <w:lang w:eastAsia="tr-TR"/>
        </w:rPr>
        <w:t xml:space="preserve"> </w:t>
      </w:r>
      <w:r w:rsidRPr="00AB662B">
        <w:rPr>
          <w:rFonts w:ascii="Times New Roman" w:eastAsia="Times New Roman" w:hAnsi="Times New Roman" w:cs="Times New Roman"/>
          <w:sz w:val="23"/>
          <w:szCs w:val="23"/>
          <w:lang w:eastAsia="tr-TR"/>
        </w:rPr>
        <w:t xml:space="preserve">2018 yılının ilk altı ayında </w:t>
      </w:r>
      <w:r w:rsidRPr="00AB662B">
        <w:rPr>
          <w:rFonts w:ascii="Times New Roman" w:eastAsia="Times New Roman" w:hAnsi="Times New Roman" w:cs="Times New Roman"/>
          <w:bCs/>
          <w:sz w:val="23"/>
          <w:szCs w:val="23"/>
          <w:lang w:eastAsia="tr-TR"/>
        </w:rPr>
        <w:t>3.517.136,39</w:t>
      </w:r>
      <w:r w:rsidRPr="00AB662B">
        <w:rPr>
          <w:rFonts w:ascii="Times New Roman" w:eastAsia="Times New Roman" w:hAnsi="Times New Roman" w:cs="Times New Roman"/>
          <w:b/>
          <w:bCs/>
          <w:sz w:val="24"/>
          <w:szCs w:val="16"/>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ile bütçesinin %44,66’sı gerçekleşmiştir. Cari transferlerin 2018 yılındaki ocak-haziran dönemi gerçekleşmesi toplam gider gerçekleşmeleri içinde % 3,67’si oranında olmuştur. </w:t>
      </w:r>
    </w:p>
    <w:p w:rsidR="00AB662B" w:rsidRPr="00AB662B" w:rsidRDefault="00AB662B" w:rsidP="00F750A3">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r w:rsidRPr="00AB662B">
        <w:rPr>
          <w:rFonts w:ascii="Times New Roman" w:eastAsia="Times New Roman" w:hAnsi="Times New Roman" w:cs="Times New Roman"/>
          <w:b/>
          <w:sz w:val="24"/>
          <w:szCs w:val="24"/>
          <w:lang w:eastAsia="tr-TR"/>
        </w:rPr>
        <w:t>2017-2018 Yılları Ocak-Haziran Döneminde Cari Transferlerin Gerçekleşmesi</w:t>
      </w:r>
    </w:p>
    <w:p w:rsidR="00AB662B" w:rsidRPr="00AB662B" w:rsidRDefault="001C4E82" w:rsidP="00324C30">
      <w:pPr>
        <w:autoSpaceDE w:val="0"/>
        <w:autoSpaceDN w:val="0"/>
        <w:adjustRightInd w:val="0"/>
        <w:spacing w:after="0" w:line="360" w:lineRule="auto"/>
        <w:jc w:val="both"/>
        <w:rPr>
          <w:rFonts w:ascii="Times New Roman" w:eastAsia="Times New Roman" w:hAnsi="Times New Roman" w:cs="Times New Roman"/>
          <w:noProof/>
          <w:sz w:val="24"/>
          <w:szCs w:val="24"/>
          <w:lang w:eastAsia="tr-TR"/>
        </w:rPr>
      </w:pPr>
      <w:r>
        <w:rPr>
          <w:noProof/>
          <w:lang w:eastAsia="tr-TR"/>
        </w:rPr>
        <w:drawing>
          <wp:inline distT="0" distB="0" distL="0" distR="0" wp14:anchorId="4218FCE7" wp14:editId="0DB377D8">
            <wp:extent cx="6308387" cy="3638145"/>
            <wp:effectExtent l="57150" t="38100" r="54610" b="76835"/>
            <wp:docPr id="25"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662B" w:rsidRPr="00AB662B" w:rsidRDefault="00AB662B"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AB662B" w:rsidRDefault="001C4E82"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r>
        <w:rPr>
          <w:noProof/>
          <w:lang w:eastAsia="tr-TR"/>
        </w:rPr>
        <w:drawing>
          <wp:inline distT="0" distB="0" distL="0" distR="0" wp14:anchorId="29EFC945" wp14:editId="7DB1052D">
            <wp:extent cx="6318115" cy="2704289"/>
            <wp:effectExtent l="57150" t="38100" r="64135" b="77470"/>
            <wp:docPr id="24"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47A81" w:rsidRPr="00AB662B" w:rsidRDefault="00247A81" w:rsidP="00AB662B">
      <w:pPr>
        <w:autoSpaceDE w:val="0"/>
        <w:autoSpaceDN w:val="0"/>
        <w:adjustRightInd w:val="0"/>
        <w:spacing w:after="0" w:line="360" w:lineRule="auto"/>
        <w:rPr>
          <w:rFonts w:ascii="Times New Roman" w:eastAsia="Times New Roman" w:hAnsi="Times New Roman" w:cs="Times New Roman"/>
          <w:noProof/>
          <w:color w:val="FF0000"/>
          <w:sz w:val="24"/>
          <w:szCs w:val="24"/>
          <w:lang w:eastAsia="tr-TR"/>
        </w:rPr>
      </w:pPr>
    </w:p>
    <w:p w:rsidR="00AB662B" w:rsidRDefault="00AB662B" w:rsidP="00AB662B">
      <w:pPr>
        <w:numPr>
          <w:ilvl w:val="0"/>
          <w:numId w:val="2"/>
        </w:numPr>
        <w:autoSpaceDE w:val="0"/>
        <w:autoSpaceDN w:val="0"/>
        <w:adjustRightInd w:val="0"/>
        <w:spacing w:after="0" w:line="360" w:lineRule="auto"/>
        <w:jc w:val="both"/>
        <w:rPr>
          <w:rFonts w:ascii="Times New Roman" w:eastAsia="Times New Roman" w:hAnsi="Times New Roman" w:cs="Times New Roman"/>
          <w:b/>
          <w:sz w:val="23"/>
          <w:szCs w:val="23"/>
          <w:lang w:eastAsia="tr-TR"/>
        </w:rPr>
      </w:pPr>
      <w:r w:rsidRPr="00AB662B">
        <w:rPr>
          <w:rFonts w:ascii="Times New Roman" w:eastAsia="Times New Roman" w:hAnsi="Times New Roman" w:cs="Times New Roman"/>
          <w:b/>
          <w:sz w:val="23"/>
          <w:szCs w:val="23"/>
          <w:lang w:eastAsia="tr-TR"/>
        </w:rPr>
        <w:lastRenderedPageBreak/>
        <w:t>Sermaye Giderleri</w:t>
      </w:r>
    </w:p>
    <w:p w:rsidR="00247A81" w:rsidRPr="00AB662B" w:rsidRDefault="00247A81" w:rsidP="00247A81">
      <w:pPr>
        <w:autoSpaceDE w:val="0"/>
        <w:autoSpaceDN w:val="0"/>
        <w:adjustRightInd w:val="0"/>
        <w:spacing w:after="0" w:line="360" w:lineRule="auto"/>
        <w:ind w:left="720"/>
        <w:jc w:val="both"/>
        <w:rPr>
          <w:rFonts w:ascii="Times New Roman" w:eastAsia="Times New Roman" w:hAnsi="Times New Roman" w:cs="Times New Roman"/>
          <w:b/>
          <w:sz w:val="23"/>
          <w:szCs w:val="23"/>
          <w:lang w:eastAsia="tr-TR"/>
        </w:rPr>
      </w:pPr>
    </w:p>
    <w:p w:rsidR="00AB662B" w:rsidRPr="00AB662B" w:rsidRDefault="00AB662B" w:rsidP="00AB662B">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Pr="00AB662B">
        <w:rPr>
          <w:rFonts w:ascii="Times New Roman" w:eastAsia="Times New Roman" w:hAnsi="Times New Roman" w:cs="Times New Roman"/>
          <w:sz w:val="23"/>
          <w:szCs w:val="23"/>
          <w:lang w:eastAsia="tr-TR"/>
        </w:rPr>
        <w:t>2018 Yılı Ocak-Haziran döneminde; kavşak proje yapımları, asfalt alımı ve serimi, stabilize serimi, park ve bahçe yapımı,  tretuvar yapımı gibi yatırım giderlerimizin yer aldığı sermaye giderleri için toplam</w:t>
      </w:r>
      <w:r w:rsidRPr="00AB662B">
        <w:rPr>
          <w:rFonts w:ascii="Times New Roman" w:eastAsia="Times New Roman" w:hAnsi="Times New Roman" w:cs="Times New Roman"/>
          <w:color w:val="FF0000"/>
          <w:sz w:val="23"/>
          <w:szCs w:val="23"/>
          <w:lang w:eastAsia="tr-TR"/>
        </w:rPr>
        <w:t xml:space="preserve"> </w:t>
      </w:r>
      <w:r w:rsidRPr="00AB662B">
        <w:rPr>
          <w:rFonts w:ascii="Times New Roman" w:eastAsia="Times New Roman" w:hAnsi="Times New Roman" w:cs="Times New Roman"/>
          <w:bCs/>
          <w:sz w:val="23"/>
          <w:szCs w:val="23"/>
          <w:lang w:eastAsia="tr-TR"/>
        </w:rPr>
        <w:t>16.040.233,70</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harcama yapılmıştır. Sermaye giderlerinin </w:t>
      </w:r>
      <w:r w:rsidR="00247A81">
        <w:rPr>
          <w:rFonts w:ascii="Times New Roman" w:eastAsia="Times New Roman" w:hAnsi="Times New Roman" w:cs="Times New Roman"/>
          <w:sz w:val="23"/>
          <w:szCs w:val="23"/>
          <w:lang w:eastAsia="tr-TR"/>
        </w:rPr>
        <w:t>2018</w:t>
      </w:r>
      <w:r w:rsidRPr="00AB662B">
        <w:rPr>
          <w:rFonts w:ascii="Times New Roman" w:eastAsia="Times New Roman" w:hAnsi="Times New Roman" w:cs="Times New Roman"/>
          <w:sz w:val="23"/>
          <w:szCs w:val="23"/>
          <w:lang w:eastAsia="tr-TR"/>
        </w:rPr>
        <w:t xml:space="preserve"> yılında toplam gi</w:t>
      </w:r>
      <w:r w:rsidR="00485C98">
        <w:rPr>
          <w:rFonts w:ascii="Times New Roman" w:eastAsia="Times New Roman" w:hAnsi="Times New Roman" w:cs="Times New Roman"/>
          <w:sz w:val="23"/>
          <w:szCs w:val="23"/>
          <w:lang w:eastAsia="tr-TR"/>
        </w:rPr>
        <w:t xml:space="preserve">der gerçekleşmesi içindeki payı % </w:t>
      </w:r>
      <w:r w:rsidRPr="00AB662B">
        <w:rPr>
          <w:rFonts w:ascii="Times New Roman" w:eastAsia="Times New Roman" w:hAnsi="Times New Roman" w:cs="Times New Roman"/>
          <w:sz w:val="23"/>
          <w:szCs w:val="23"/>
          <w:lang w:eastAsia="tr-TR"/>
        </w:rPr>
        <w:t xml:space="preserve">16,73 olmuştur. </w:t>
      </w:r>
    </w:p>
    <w:p w:rsidR="00AB662B" w:rsidRDefault="00AB662B" w:rsidP="00AB662B">
      <w:pPr>
        <w:autoSpaceDE w:val="0"/>
        <w:autoSpaceDN w:val="0"/>
        <w:adjustRightInd w:val="0"/>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3"/>
          <w:szCs w:val="23"/>
          <w:lang w:eastAsia="tr-TR"/>
        </w:rPr>
        <w:tab/>
      </w:r>
      <w:r w:rsidRPr="00AB662B">
        <w:rPr>
          <w:rFonts w:ascii="Times New Roman" w:eastAsia="Times New Roman" w:hAnsi="Times New Roman" w:cs="Times New Roman"/>
          <w:sz w:val="23"/>
          <w:szCs w:val="23"/>
          <w:lang w:eastAsia="tr-TR"/>
        </w:rPr>
        <w:t xml:space="preserve">2018 yılının ilk altı ayında sermaye giderleri içerisinde, </w:t>
      </w:r>
      <w:r w:rsidR="00F750A3">
        <w:rPr>
          <w:rFonts w:ascii="Times New Roman" w:eastAsia="Times New Roman" w:hAnsi="Times New Roman" w:cs="Times New Roman"/>
          <w:sz w:val="23"/>
          <w:szCs w:val="23"/>
          <w:lang w:eastAsia="tr-TR"/>
        </w:rPr>
        <w:t xml:space="preserve">en büyük gider olarak </w:t>
      </w:r>
      <w:r w:rsidRPr="00AB662B">
        <w:rPr>
          <w:rFonts w:ascii="Times New Roman" w:eastAsia="Times New Roman" w:hAnsi="Times New Roman" w:cs="Times New Roman"/>
          <w:sz w:val="23"/>
          <w:szCs w:val="23"/>
          <w:lang w:eastAsia="tr-TR"/>
        </w:rPr>
        <w:t>Gayrimenkul Sermaye Üretim Giderleri</w:t>
      </w:r>
      <w:r w:rsidR="00F750A3">
        <w:rPr>
          <w:rFonts w:ascii="Times New Roman" w:eastAsia="Times New Roman" w:hAnsi="Times New Roman" w:cs="Times New Roman"/>
          <w:sz w:val="23"/>
          <w:szCs w:val="23"/>
          <w:lang w:eastAsia="tr-TR"/>
        </w:rPr>
        <w:t>ne</w:t>
      </w:r>
      <w:r w:rsidRPr="00AB662B">
        <w:rPr>
          <w:rFonts w:ascii="Times New Roman" w:eastAsia="Times New Roman" w:hAnsi="Times New Roman" w:cs="Times New Roman"/>
          <w:sz w:val="23"/>
          <w:szCs w:val="23"/>
          <w:lang w:eastAsia="tr-TR"/>
        </w:rPr>
        <w:t xml:space="preserve"> 11.979.224,78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r w:rsidR="0034687C">
        <w:rPr>
          <w:rFonts w:ascii="Times New Roman" w:eastAsia="Times New Roman" w:hAnsi="Times New Roman" w:cs="Times New Roman"/>
          <w:sz w:val="23"/>
          <w:szCs w:val="23"/>
          <w:lang w:eastAsia="tr-TR"/>
        </w:rPr>
        <w:t xml:space="preserve">harcama yapılmıştır. İkinci Sırada </w:t>
      </w:r>
      <w:r w:rsidR="0034687C" w:rsidRPr="00AB662B">
        <w:rPr>
          <w:rFonts w:ascii="Times New Roman" w:eastAsia="Times New Roman" w:hAnsi="Times New Roman" w:cs="Times New Roman"/>
          <w:sz w:val="23"/>
          <w:szCs w:val="23"/>
          <w:lang w:eastAsia="tr-TR"/>
        </w:rPr>
        <w:t xml:space="preserve">1.357.483,84 </w:t>
      </w:r>
      <w:r w:rsidR="0034687C" w:rsidRPr="00AB662B">
        <w:rPr>
          <w:rFonts w:ascii="Arial TUR" w:eastAsia="Times New Roman" w:hAnsi="Arial TUR" w:cs="Arial TUR"/>
          <w:sz w:val="20"/>
          <w:szCs w:val="20"/>
          <w:lang w:eastAsia="tr-TR"/>
        </w:rPr>
        <w:t>₺</w:t>
      </w:r>
      <w:r w:rsidR="0034687C">
        <w:rPr>
          <w:rFonts w:ascii="Arial TUR" w:eastAsia="Times New Roman" w:hAnsi="Arial TUR" w:cs="Arial TUR"/>
          <w:sz w:val="20"/>
          <w:szCs w:val="20"/>
          <w:lang w:eastAsia="tr-TR"/>
        </w:rPr>
        <w:t xml:space="preserve"> harcama ile</w:t>
      </w:r>
      <w:r w:rsidR="0034687C" w:rsidRPr="00AB662B">
        <w:rPr>
          <w:rFonts w:ascii="Times New Roman" w:eastAsia="Times New Roman" w:hAnsi="Times New Roman" w:cs="Times New Roman"/>
          <w:sz w:val="23"/>
          <w:szCs w:val="23"/>
          <w:lang w:eastAsia="tr-TR"/>
        </w:rPr>
        <w:t xml:space="preserve"> </w:t>
      </w:r>
      <w:r w:rsidRPr="00AB662B">
        <w:rPr>
          <w:rFonts w:ascii="Times New Roman" w:eastAsia="Times New Roman" w:hAnsi="Times New Roman" w:cs="Times New Roman"/>
          <w:sz w:val="23"/>
          <w:szCs w:val="23"/>
          <w:lang w:eastAsia="tr-TR"/>
        </w:rPr>
        <w:t>Gay</w:t>
      </w:r>
      <w:r w:rsidR="0034687C">
        <w:rPr>
          <w:rFonts w:ascii="Times New Roman" w:eastAsia="Times New Roman" w:hAnsi="Times New Roman" w:cs="Times New Roman"/>
          <w:sz w:val="23"/>
          <w:szCs w:val="23"/>
          <w:lang w:eastAsia="tr-TR"/>
        </w:rPr>
        <w:t>rimenkul Büyük Onarım Giderleri yer almıştır.</w:t>
      </w:r>
    </w:p>
    <w:p w:rsidR="00485C98" w:rsidRPr="00DA352D" w:rsidRDefault="00485C98" w:rsidP="00AB662B">
      <w:pPr>
        <w:autoSpaceDE w:val="0"/>
        <w:autoSpaceDN w:val="0"/>
        <w:adjustRightInd w:val="0"/>
        <w:spacing w:after="0" w:line="360" w:lineRule="auto"/>
        <w:jc w:val="both"/>
        <w:rPr>
          <w:rFonts w:ascii="Times New Roman" w:eastAsia="Times New Roman" w:hAnsi="Times New Roman" w:cs="Times New Roman"/>
          <w:sz w:val="23"/>
          <w:szCs w:val="23"/>
          <w:lang w:eastAsia="tr-TR"/>
        </w:rPr>
      </w:pPr>
    </w:p>
    <w:tbl>
      <w:tblPr>
        <w:tblW w:w="9962"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800"/>
        <w:gridCol w:w="2526"/>
        <w:gridCol w:w="2636"/>
      </w:tblGrid>
      <w:tr w:rsidR="00AB662B" w:rsidRPr="00AB662B" w:rsidTr="0034687C">
        <w:trPr>
          <w:trHeight w:val="340"/>
        </w:trPr>
        <w:tc>
          <w:tcPr>
            <w:tcW w:w="9962" w:type="dxa"/>
            <w:gridSpan w:val="3"/>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AB662B" w:rsidRPr="00AB662B" w:rsidRDefault="00AB662B" w:rsidP="00AB662B">
            <w:pPr>
              <w:spacing w:after="0" w:line="240" w:lineRule="auto"/>
              <w:jc w:val="center"/>
              <w:rPr>
                <w:rFonts w:ascii="Arial TUR" w:eastAsia="Times New Roman" w:hAnsi="Arial TUR" w:cs="Arial TUR"/>
                <w:b/>
                <w:bCs/>
                <w:color w:val="FF0000"/>
                <w:sz w:val="28"/>
                <w:szCs w:val="28"/>
                <w:lang w:eastAsia="tr-TR"/>
              </w:rPr>
            </w:pPr>
            <w:r w:rsidRPr="00AB662B">
              <w:rPr>
                <w:rFonts w:ascii="Arial TUR" w:eastAsia="Times New Roman" w:hAnsi="Arial TUR" w:cs="Arial TUR"/>
                <w:b/>
                <w:bCs/>
                <w:color w:val="FFFFFF"/>
                <w:sz w:val="24"/>
                <w:szCs w:val="28"/>
                <w:lang w:eastAsia="tr-TR"/>
              </w:rPr>
              <w:t>Sermaye Giderleri 2018 Yılı Bütçesi ve Ocak-Haziran Dönemi Gerçekleşmeleri</w:t>
            </w:r>
          </w:p>
        </w:tc>
      </w:tr>
      <w:tr w:rsidR="00AB662B" w:rsidRPr="00AB662B" w:rsidTr="0034687C">
        <w:trPr>
          <w:trHeight w:val="340"/>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20"/>
                <w:szCs w:val="16"/>
                <w:lang w:eastAsia="tr-TR"/>
              </w:rPr>
            </w:pPr>
            <w:r w:rsidRPr="00AB662B">
              <w:rPr>
                <w:rFonts w:ascii="Arial TUR" w:eastAsia="Times New Roman" w:hAnsi="Arial TUR" w:cs="Arial TUR"/>
                <w:b/>
                <w:bCs/>
                <w:color w:val="800000"/>
                <w:sz w:val="20"/>
                <w:szCs w:val="16"/>
                <w:lang w:eastAsia="tr-TR"/>
              </w:rPr>
              <w:t>SERMAYE GİDERLERİ</w:t>
            </w:r>
          </w:p>
        </w:tc>
        <w:tc>
          <w:tcPr>
            <w:tcW w:w="2526"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20"/>
                <w:szCs w:val="16"/>
                <w:lang w:eastAsia="tr-TR"/>
              </w:rPr>
            </w:pPr>
            <w:r w:rsidRPr="00AB662B">
              <w:rPr>
                <w:rFonts w:ascii="Arial TUR" w:eastAsia="Times New Roman" w:hAnsi="Arial TUR" w:cs="Arial TUR"/>
                <w:b/>
                <w:bCs/>
                <w:color w:val="800000"/>
                <w:sz w:val="20"/>
                <w:szCs w:val="16"/>
                <w:lang w:eastAsia="tr-TR"/>
              </w:rPr>
              <w:t>BÜTÇE</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AB662B" w:rsidRPr="00AB662B" w:rsidRDefault="00AB662B" w:rsidP="00AB662B">
            <w:pPr>
              <w:spacing w:after="0" w:line="240" w:lineRule="auto"/>
              <w:jc w:val="center"/>
              <w:rPr>
                <w:rFonts w:ascii="Arial TUR" w:eastAsia="Times New Roman" w:hAnsi="Arial TUR" w:cs="Arial TUR"/>
                <w:b/>
                <w:bCs/>
                <w:color w:val="800000"/>
                <w:sz w:val="20"/>
                <w:szCs w:val="16"/>
                <w:lang w:eastAsia="tr-TR"/>
              </w:rPr>
            </w:pPr>
            <w:r w:rsidRPr="00AB662B">
              <w:rPr>
                <w:rFonts w:ascii="Arial TUR" w:eastAsia="Times New Roman" w:hAnsi="Arial TUR" w:cs="Arial TUR"/>
                <w:b/>
                <w:bCs/>
                <w:color w:val="800000"/>
                <w:sz w:val="20"/>
                <w:szCs w:val="16"/>
                <w:lang w:eastAsia="tr-TR"/>
              </w:rPr>
              <w:t>GERÇEKLEŞEN</w:t>
            </w:r>
          </w:p>
        </w:tc>
      </w:tr>
      <w:tr w:rsidR="00AB662B" w:rsidRPr="00AB662B" w:rsidTr="0034687C">
        <w:trPr>
          <w:trHeight w:val="340"/>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Mamul Mal Alımları</w:t>
            </w:r>
          </w:p>
        </w:tc>
        <w:tc>
          <w:tcPr>
            <w:tcW w:w="252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201.000,00</w:t>
            </w:r>
          </w:p>
        </w:tc>
        <w:tc>
          <w:tcPr>
            <w:tcW w:w="263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241.605,00</w:t>
            </w:r>
          </w:p>
        </w:tc>
      </w:tr>
      <w:tr w:rsidR="00AB662B" w:rsidRPr="00AB662B" w:rsidTr="0034687C">
        <w:trPr>
          <w:trHeight w:val="340"/>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Menkul Sermaye Üretim Giderleri</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34687C">
        <w:trPr>
          <w:trHeight w:val="340"/>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 Maddi Hak Alımları</w:t>
            </w:r>
          </w:p>
        </w:tc>
        <w:tc>
          <w:tcPr>
            <w:tcW w:w="252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800.000,00</w:t>
            </w:r>
          </w:p>
        </w:tc>
        <w:tc>
          <w:tcPr>
            <w:tcW w:w="263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46.039,78</w:t>
            </w:r>
          </w:p>
        </w:tc>
      </w:tr>
      <w:tr w:rsidR="00AB662B" w:rsidRPr="00AB662B" w:rsidTr="0034687C">
        <w:trPr>
          <w:trHeight w:val="340"/>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Gayrimenkul Alımları Ve Kamulaştırması</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3.000.000,00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2.415.880,30</w:t>
            </w:r>
          </w:p>
        </w:tc>
      </w:tr>
      <w:tr w:rsidR="00AB662B" w:rsidRPr="00AB662B" w:rsidTr="0034687C">
        <w:trPr>
          <w:trHeight w:val="340"/>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Gayrimenkul Sermaye Üretim Giderleri</w:t>
            </w:r>
          </w:p>
        </w:tc>
        <w:tc>
          <w:tcPr>
            <w:tcW w:w="252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41.400.000,00</w:t>
            </w:r>
          </w:p>
        </w:tc>
        <w:tc>
          <w:tcPr>
            <w:tcW w:w="263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11.979.224,78</w:t>
            </w:r>
          </w:p>
        </w:tc>
      </w:tr>
      <w:tr w:rsidR="00AB662B" w:rsidRPr="00AB662B" w:rsidTr="0034687C">
        <w:trPr>
          <w:trHeight w:val="340"/>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Menkul Malların Büyük Onarım Giderleri</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34687C">
        <w:trPr>
          <w:trHeight w:val="340"/>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Gayrimenkul Büyük Onarım Giderleri</w:t>
            </w:r>
          </w:p>
        </w:tc>
        <w:tc>
          <w:tcPr>
            <w:tcW w:w="252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12.162.000,00</w:t>
            </w:r>
          </w:p>
        </w:tc>
        <w:tc>
          <w:tcPr>
            <w:tcW w:w="263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1.357.483,84</w:t>
            </w:r>
          </w:p>
        </w:tc>
      </w:tr>
      <w:tr w:rsidR="00AB662B" w:rsidRPr="00AB662B" w:rsidTr="0034687C">
        <w:trPr>
          <w:trHeight w:val="340"/>
        </w:trPr>
        <w:tc>
          <w:tcPr>
            <w:tcW w:w="4800" w:type="dxa"/>
            <w:tcBorders>
              <w:top w:val="single" w:sz="8" w:space="0" w:color="FFFFFF"/>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Stok Alımları (Savunma Dışında)</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34687C">
        <w:trPr>
          <w:trHeight w:val="340"/>
        </w:trPr>
        <w:tc>
          <w:tcPr>
            <w:tcW w:w="4800" w:type="dxa"/>
            <w:tcBorders>
              <w:left w:val="single" w:sz="8" w:space="0" w:color="FFFFFF"/>
              <w:bottom w:val="nil"/>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color w:val="8E0000"/>
                <w:sz w:val="18"/>
                <w:szCs w:val="18"/>
                <w:lang w:eastAsia="tr-TR"/>
              </w:rPr>
            </w:pPr>
            <w:r w:rsidRPr="00AB662B">
              <w:rPr>
                <w:rFonts w:ascii="Calibri" w:eastAsia="Times New Roman" w:hAnsi="Calibri" w:cs="Arial TUR"/>
                <w:b/>
                <w:color w:val="8E0000"/>
                <w:sz w:val="18"/>
                <w:szCs w:val="18"/>
                <w:lang w:eastAsia="tr-TR"/>
              </w:rPr>
              <w:t>Diğer Sermaye Giderleri</w:t>
            </w:r>
          </w:p>
        </w:tc>
        <w:tc>
          <w:tcPr>
            <w:tcW w:w="252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c>
          <w:tcPr>
            <w:tcW w:w="2636" w:type="dxa"/>
            <w:shd w:val="clear" w:color="auto" w:fill="D3DFE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0,00</w:t>
            </w:r>
          </w:p>
        </w:tc>
      </w:tr>
      <w:tr w:rsidR="00AB662B" w:rsidRPr="00AB662B" w:rsidTr="0034687C">
        <w:trPr>
          <w:trHeight w:val="340"/>
        </w:trPr>
        <w:tc>
          <w:tcPr>
            <w:tcW w:w="4800" w:type="dxa"/>
            <w:tcBorders>
              <w:top w:val="single" w:sz="8" w:space="0" w:color="FFFFFF"/>
              <w:left w:val="single" w:sz="8" w:space="0" w:color="FFFFFF"/>
              <w:bottom w:val="single" w:sz="8" w:space="0" w:color="FFFFFF"/>
              <w:right w:val="single" w:sz="24" w:space="0" w:color="FFFFFF"/>
            </w:tcBorders>
            <w:shd w:val="clear" w:color="auto" w:fill="4F81BD"/>
            <w:noWrap/>
            <w:vAlign w:val="center"/>
            <w:hideMark/>
          </w:tcPr>
          <w:p w:rsidR="00AB662B" w:rsidRPr="00AB662B" w:rsidRDefault="00AB662B" w:rsidP="00AB662B">
            <w:pPr>
              <w:spacing w:after="0" w:line="240" w:lineRule="auto"/>
              <w:rPr>
                <w:rFonts w:ascii="Calibri" w:eastAsia="Times New Roman" w:hAnsi="Calibri" w:cs="Arial TUR"/>
                <w:b/>
                <w:bCs/>
                <w:color w:val="8E0000"/>
                <w:sz w:val="18"/>
                <w:szCs w:val="18"/>
                <w:lang w:eastAsia="tr-TR"/>
              </w:rPr>
            </w:pPr>
            <w:r w:rsidRPr="00AB662B">
              <w:rPr>
                <w:rFonts w:ascii="Calibri" w:eastAsia="Times New Roman" w:hAnsi="Calibri" w:cs="Arial TUR"/>
                <w:b/>
                <w:bCs/>
                <w:color w:val="8E0000"/>
                <w:sz w:val="18"/>
                <w:szCs w:val="18"/>
                <w:lang w:eastAsia="tr-TR"/>
              </w:rPr>
              <w:t>TOPLAM</w:t>
            </w:r>
          </w:p>
        </w:tc>
        <w:tc>
          <w:tcPr>
            <w:tcW w:w="252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57.563.000,00</w:t>
            </w:r>
          </w:p>
        </w:tc>
        <w:tc>
          <w:tcPr>
            <w:tcW w:w="2636" w:type="dxa"/>
            <w:tcBorders>
              <w:top w:val="single" w:sz="8" w:space="0" w:color="FFFFFF"/>
              <w:left w:val="single" w:sz="8" w:space="0" w:color="FFFFFF"/>
              <w:bottom w:val="single" w:sz="8" w:space="0" w:color="FFFFFF"/>
              <w:right w:val="single" w:sz="8" w:space="0" w:color="FFFFFF"/>
            </w:tcBorders>
            <w:shd w:val="clear" w:color="auto" w:fill="A7BFDE"/>
            <w:noWrap/>
            <w:hideMark/>
          </w:tcPr>
          <w:p w:rsidR="00AB662B" w:rsidRPr="00AB662B" w:rsidRDefault="00AB662B" w:rsidP="00AB662B">
            <w:pPr>
              <w:spacing w:after="0" w:line="240" w:lineRule="auto"/>
              <w:jc w:val="right"/>
              <w:rPr>
                <w:rFonts w:ascii="Calibri" w:eastAsia="Times New Roman" w:hAnsi="Calibri" w:cs="Times New Roman"/>
                <w:b/>
                <w:color w:val="943634"/>
                <w:sz w:val="18"/>
                <w:szCs w:val="18"/>
                <w:lang w:eastAsia="tr-TR"/>
              </w:rPr>
            </w:pPr>
            <w:r w:rsidRPr="00AB662B">
              <w:rPr>
                <w:rFonts w:ascii="Calibri" w:eastAsia="Times New Roman" w:hAnsi="Calibri" w:cs="Times New Roman"/>
                <w:b/>
                <w:color w:val="943634"/>
                <w:sz w:val="18"/>
                <w:szCs w:val="18"/>
                <w:lang w:eastAsia="tr-TR"/>
              </w:rPr>
              <w:t>16.040.233,70</w:t>
            </w:r>
          </w:p>
        </w:tc>
      </w:tr>
    </w:tbl>
    <w:p w:rsidR="0034687C" w:rsidRDefault="0034687C" w:rsidP="00AB662B">
      <w:pPr>
        <w:autoSpaceDE w:val="0"/>
        <w:autoSpaceDN w:val="0"/>
        <w:adjustRightInd w:val="0"/>
        <w:spacing w:after="0" w:line="360" w:lineRule="auto"/>
        <w:jc w:val="both"/>
        <w:rPr>
          <w:rFonts w:ascii="Times New Roman" w:eastAsia="Times New Roman" w:hAnsi="Times New Roman" w:cs="Times New Roman"/>
          <w:noProof/>
          <w:sz w:val="24"/>
          <w:szCs w:val="24"/>
          <w:lang w:eastAsia="tr-TR"/>
        </w:rPr>
      </w:pPr>
    </w:p>
    <w:p w:rsidR="00AB662B" w:rsidRPr="00AB662B" w:rsidRDefault="000B6536" w:rsidP="00AB662B">
      <w:pPr>
        <w:autoSpaceDE w:val="0"/>
        <w:autoSpaceDN w:val="0"/>
        <w:adjustRightInd w:val="0"/>
        <w:spacing w:after="0" w:line="360" w:lineRule="auto"/>
        <w:jc w:val="both"/>
        <w:rPr>
          <w:rFonts w:ascii="Times New Roman" w:eastAsia="Times New Roman" w:hAnsi="Times New Roman" w:cs="Times New Roman"/>
          <w:noProof/>
          <w:sz w:val="24"/>
          <w:szCs w:val="24"/>
          <w:lang w:eastAsia="tr-TR"/>
        </w:rPr>
      </w:pPr>
      <w:r>
        <w:rPr>
          <w:noProof/>
          <w:lang w:eastAsia="tr-TR"/>
        </w:rPr>
        <w:drawing>
          <wp:inline distT="0" distB="0" distL="0" distR="0" wp14:anchorId="0F00B975" wp14:editId="29D77E2B">
            <wp:extent cx="6287247" cy="3030071"/>
            <wp:effectExtent l="57150" t="38100" r="56515" b="75565"/>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B662B" w:rsidRPr="00AB662B" w:rsidRDefault="00AB662B" w:rsidP="00AB662B">
      <w:pPr>
        <w:autoSpaceDE w:val="0"/>
        <w:autoSpaceDN w:val="0"/>
        <w:adjustRightInd w:val="0"/>
        <w:spacing w:after="0" w:line="360" w:lineRule="auto"/>
        <w:jc w:val="both"/>
        <w:rPr>
          <w:rFonts w:ascii="Times New Roman" w:eastAsia="Times New Roman" w:hAnsi="Times New Roman" w:cs="Times New Roman"/>
          <w:noProof/>
          <w:sz w:val="24"/>
          <w:szCs w:val="24"/>
          <w:lang w:eastAsia="tr-TR"/>
        </w:rPr>
      </w:pPr>
    </w:p>
    <w:p w:rsidR="00AB662B" w:rsidRPr="00AB662B" w:rsidRDefault="00AB662B" w:rsidP="00AB662B">
      <w:pPr>
        <w:spacing w:after="0" w:line="240" w:lineRule="auto"/>
        <w:jc w:val="both"/>
        <w:rPr>
          <w:rFonts w:ascii="Arial TUR" w:eastAsia="Times New Roman" w:hAnsi="Arial TUR" w:cs="Arial TUR"/>
          <w:sz w:val="16"/>
          <w:szCs w:val="16"/>
          <w:lang w:eastAsia="tr-TR"/>
        </w:rPr>
      </w:pPr>
    </w:p>
    <w:p w:rsidR="00AB662B" w:rsidRPr="00AB662B" w:rsidRDefault="0092234B" w:rsidP="00AB662B">
      <w:pPr>
        <w:autoSpaceDE w:val="0"/>
        <w:autoSpaceDN w:val="0"/>
        <w:adjustRightInd w:val="0"/>
        <w:spacing w:after="0" w:line="360" w:lineRule="auto"/>
        <w:jc w:val="both"/>
        <w:rPr>
          <w:rFonts w:ascii="Times New Roman" w:eastAsia="Times New Roman" w:hAnsi="Times New Roman" w:cs="Times New Roman"/>
          <w:i/>
          <w:sz w:val="23"/>
          <w:szCs w:val="23"/>
          <w:lang w:eastAsia="tr-TR"/>
        </w:rPr>
      </w:pPr>
      <w:r>
        <w:rPr>
          <w:noProof/>
          <w:lang w:eastAsia="tr-TR"/>
        </w:rPr>
        <w:drawing>
          <wp:inline distT="0" distB="0" distL="0" distR="0" wp14:anchorId="288B1AE9" wp14:editId="7B9413DD">
            <wp:extent cx="6269318" cy="3520141"/>
            <wp:effectExtent l="57150" t="38100" r="55880" b="80645"/>
            <wp:docPr id="27"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A352D" w:rsidRDefault="00DA352D" w:rsidP="00AB662B">
      <w:pPr>
        <w:autoSpaceDE w:val="0"/>
        <w:autoSpaceDN w:val="0"/>
        <w:adjustRightInd w:val="0"/>
        <w:spacing w:after="0" w:line="360" w:lineRule="auto"/>
        <w:jc w:val="both"/>
        <w:rPr>
          <w:rFonts w:ascii="Times New Roman" w:eastAsia="Times New Roman" w:hAnsi="Times New Roman" w:cs="Times New Roman"/>
          <w:b/>
          <w:i/>
          <w:sz w:val="23"/>
          <w:szCs w:val="23"/>
          <w:lang w:eastAsia="tr-TR"/>
        </w:rPr>
      </w:pPr>
    </w:p>
    <w:p w:rsidR="00AB662B" w:rsidRDefault="00AB662B" w:rsidP="00485C98">
      <w:pPr>
        <w:autoSpaceDE w:val="0"/>
        <w:autoSpaceDN w:val="0"/>
        <w:adjustRightInd w:val="0"/>
        <w:spacing w:after="0" w:line="360" w:lineRule="auto"/>
        <w:jc w:val="center"/>
        <w:rPr>
          <w:rFonts w:ascii="Times New Roman" w:eastAsia="Times New Roman" w:hAnsi="Times New Roman" w:cs="Times New Roman"/>
          <w:b/>
          <w:sz w:val="24"/>
          <w:szCs w:val="23"/>
          <w:lang w:eastAsia="tr-TR"/>
        </w:rPr>
      </w:pPr>
      <w:r w:rsidRPr="00AB662B">
        <w:rPr>
          <w:rFonts w:ascii="Times New Roman" w:eastAsia="Times New Roman" w:hAnsi="Times New Roman" w:cs="Times New Roman"/>
          <w:b/>
          <w:sz w:val="24"/>
          <w:szCs w:val="23"/>
          <w:lang w:eastAsia="tr-TR"/>
        </w:rPr>
        <w:t>2017-2018 Yılları Ocak-Haziran Döneminde Sermaye Giderleri Gerçekleşmesi Grafiği</w:t>
      </w:r>
    </w:p>
    <w:p w:rsidR="00485C98" w:rsidRPr="00AB662B" w:rsidRDefault="00485C98" w:rsidP="00AB662B">
      <w:pPr>
        <w:autoSpaceDE w:val="0"/>
        <w:autoSpaceDN w:val="0"/>
        <w:adjustRightInd w:val="0"/>
        <w:spacing w:after="0" w:line="360" w:lineRule="auto"/>
        <w:jc w:val="both"/>
        <w:rPr>
          <w:rFonts w:ascii="Times New Roman" w:eastAsia="Times New Roman" w:hAnsi="Times New Roman" w:cs="Times New Roman"/>
          <w:b/>
          <w:sz w:val="23"/>
          <w:szCs w:val="23"/>
          <w:lang w:eastAsia="tr-TR"/>
        </w:rPr>
      </w:pPr>
    </w:p>
    <w:p w:rsidR="00AB662B" w:rsidRPr="00AB662B" w:rsidRDefault="0092234B" w:rsidP="00AB662B">
      <w:pPr>
        <w:autoSpaceDE w:val="0"/>
        <w:autoSpaceDN w:val="0"/>
        <w:adjustRightInd w:val="0"/>
        <w:spacing w:after="0" w:line="360" w:lineRule="auto"/>
        <w:jc w:val="both"/>
        <w:rPr>
          <w:rFonts w:ascii="Times New Roman" w:eastAsia="Times New Roman" w:hAnsi="Times New Roman" w:cs="Times New Roman"/>
          <w:color w:val="FF0000"/>
          <w:sz w:val="23"/>
          <w:szCs w:val="23"/>
          <w:lang w:eastAsia="tr-TR"/>
        </w:rPr>
      </w:pPr>
      <w:r>
        <w:rPr>
          <w:noProof/>
          <w:lang w:eastAsia="tr-TR"/>
        </w:rPr>
        <w:drawing>
          <wp:inline distT="0" distB="0" distL="0" distR="0" wp14:anchorId="386D329C" wp14:editId="21514295">
            <wp:extent cx="6329082" cy="3095812"/>
            <wp:effectExtent l="0" t="0" r="33655" b="28575"/>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85C98" w:rsidRDefault="00AB662B" w:rsidP="00AB662B">
      <w:pPr>
        <w:spacing w:before="120" w:after="0" w:line="288" w:lineRule="auto"/>
        <w:jc w:val="both"/>
        <w:rPr>
          <w:rFonts w:ascii="Times New Roman" w:eastAsia="Times New Roman" w:hAnsi="Times New Roman" w:cs="Times New Roman"/>
          <w:color w:val="FF0000"/>
          <w:sz w:val="23"/>
          <w:szCs w:val="23"/>
          <w:lang w:eastAsia="tr-TR"/>
        </w:rPr>
      </w:pPr>
      <w:r w:rsidRPr="00AB662B">
        <w:rPr>
          <w:rFonts w:ascii="Times New Roman" w:eastAsia="Times New Roman" w:hAnsi="Times New Roman" w:cs="Times New Roman"/>
          <w:color w:val="FF0000"/>
          <w:sz w:val="23"/>
          <w:szCs w:val="23"/>
          <w:lang w:eastAsia="tr-TR"/>
        </w:rPr>
        <w:tab/>
      </w:r>
    </w:p>
    <w:p w:rsidR="00AB662B" w:rsidRDefault="00AB662B" w:rsidP="0034687C">
      <w:pPr>
        <w:spacing w:before="120" w:after="0" w:line="288" w:lineRule="auto"/>
        <w:ind w:firstLine="708"/>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 xml:space="preserve">2018 yılının ilk altı ayında </w:t>
      </w:r>
      <w:r w:rsidRPr="00AB662B">
        <w:rPr>
          <w:rFonts w:ascii="Times New Roman" w:eastAsia="Times New Roman" w:hAnsi="Times New Roman" w:cs="Times New Roman"/>
          <w:bCs/>
          <w:color w:val="000000"/>
          <w:sz w:val="23"/>
          <w:szCs w:val="23"/>
          <w:lang w:eastAsia="tr-TR"/>
        </w:rPr>
        <w:t>16.040.233,70</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gerçekleşmiş olan sermaye giderleri içinde en yüksek harcama </w:t>
      </w:r>
      <w:r w:rsidRPr="00AB662B">
        <w:rPr>
          <w:rFonts w:ascii="Times New Roman" w:eastAsia="Times New Roman" w:hAnsi="Times New Roman" w:cs="Times New Roman"/>
          <w:color w:val="000000"/>
          <w:sz w:val="23"/>
          <w:szCs w:val="23"/>
          <w:lang w:eastAsia="tr-TR"/>
        </w:rPr>
        <w:t>11.979.224,78</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ile yol yapımları, altyapı yatırımları gibi harcamalarımızın yer aldığı Gayrimenkul Sermaye Üretim Giderleri için yapılmıştır. </w:t>
      </w:r>
    </w:p>
    <w:p w:rsidR="0034687C" w:rsidRDefault="0034687C" w:rsidP="00AB662B">
      <w:pPr>
        <w:autoSpaceDE w:val="0"/>
        <w:autoSpaceDN w:val="0"/>
        <w:adjustRightInd w:val="0"/>
        <w:spacing w:after="0" w:line="360" w:lineRule="auto"/>
        <w:jc w:val="both"/>
        <w:rPr>
          <w:rFonts w:ascii="Arial" w:eastAsia="Times New Roman" w:hAnsi="Arial" w:cs="Arial"/>
          <w:b/>
          <w:bCs/>
          <w:sz w:val="26"/>
          <w:szCs w:val="26"/>
          <w:lang w:eastAsia="tr-TR"/>
        </w:rPr>
      </w:pPr>
    </w:p>
    <w:p w:rsidR="00AB662B" w:rsidRPr="00AB662B" w:rsidRDefault="00AB662B" w:rsidP="00AB662B">
      <w:pPr>
        <w:autoSpaceDE w:val="0"/>
        <w:autoSpaceDN w:val="0"/>
        <w:adjustRightInd w:val="0"/>
        <w:spacing w:after="0" w:line="360" w:lineRule="auto"/>
        <w:jc w:val="both"/>
        <w:rPr>
          <w:rFonts w:ascii="Arial" w:eastAsia="Times New Roman" w:hAnsi="Arial" w:cs="Arial"/>
          <w:b/>
          <w:bCs/>
          <w:sz w:val="26"/>
          <w:szCs w:val="26"/>
          <w:lang w:eastAsia="tr-TR"/>
        </w:rPr>
      </w:pPr>
      <w:r w:rsidRPr="00AB662B">
        <w:rPr>
          <w:rFonts w:ascii="Arial" w:eastAsia="Times New Roman" w:hAnsi="Arial" w:cs="Arial"/>
          <w:b/>
          <w:bCs/>
          <w:sz w:val="26"/>
          <w:szCs w:val="26"/>
          <w:lang w:eastAsia="tr-TR"/>
        </w:rPr>
        <w:lastRenderedPageBreak/>
        <w:t>B. BÜTÇE GELİRLERİ</w:t>
      </w:r>
    </w:p>
    <w:p w:rsidR="00AB662B" w:rsidRPr="00AB662B" w:rsidRDefault="00AB662B" w:rsidP="0034687C">
      <w:pPr>
        <w:autoSpaceDE w:val="0"/>
        <w:autoSpaceDN w:val="0"/>
        <w:adjustRightInd w:val="0"/>
        <w:spacing w:after="240" w:line="360" w:lineRule="auto"/>
        <w:ind w:firstLine="70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Belediye meclisimizce onaylanarak yürürlüğe giren 2018 yılı Gelir Bütçemiz; % </w:t>
      </w:r>
      <w:r w:rsidR="00F74A14">
        <w:rPr>
          <w:rFonts w:ascii="Times New Roman" w:eastAsia="Times New Roman" w:hAnsi="Times New Roman" w:cs="Times New Roman"/>
          <w:sz w:val="24"/>
          <w:szCs w:val="24"/>
          <w:lang w:eastAsia="tr-TR"/>
        </w:rPr>
        <w:t>34,95</w:t>
      </w:r>
      <w:r w:rsidRPr="00AB662B">
        <w:rPr>
          <w:rFonts w:ascii="Times New Roman" w:eastAsia="Times New Roman" w:hAnsi="Times New Roman" w:cs="Times New Roman"/>
          <w:sz w:val="24"/>
          <w:szCs w:val="24"/>
          <w:lang w:eastAsia="tr-TR"/>
        </w:rPr>
        <w:t xml:space="preserve"> Vergi gelirleri, %</w:t>
      </w:r>
      <w:r w:rsidR="00F74A14">
        <w:rPr>
          <w:rFonts w:ascii="Times New Roman" w:eastAsia="Times New Roman" w:hAnsi="Times New Roman" w:cs="Times New Roman"/>
          <w:sz w:val="24"/>
          <w:szCs w:val="24"/>
          <w:lang w:eastAsia="tr-TR"/>
        </w:rPr>
        <w:t>16,98</w:t>
      </w:r>
      <w:r w:rsidRPr="00AB662B">
        <w:rPr>
          <w:rFonts w:ascii="Times New Roman" w:eastAsia="Times New Roman" w:hAnsi="Times New Roman" w:cs="Times New Roman"/>
          <w:sz w:val="24"/>
          <w:szCs w:val="24"/>
          <w:lang w:eastAsia="tr-TR"/>
        </w:rPr>
        <w:t xml:space="preserve"> Teşebbüs ve mülkiyet gelirleri, %</w:t>
      </w:r>
      <w:r w:rsidR="00F74A14">
        <w:rPr>
          <w:rFonts w:ascii="Times New Roman" w:eastAsia="Times New Roman" w:hAnsi="Times New Roman" w:cs="Times New Roman"/>
          <w:sz w:val="24"/>
          <w:szCs w:val="24"/>
          <w:lang w:eastAsia="tr-TR"/>
        </w:rPr>
        <w:t xml:space="preserve"> 39,23</w:t>
      </w:r>
      <w:r w:rsidRPr="00AB662B">
        <w:rPr>
          <w:rFonts w:ascii="Times New Roman" w:eastAsia="Times New Roman" w:hAnsi="Times New Roman" w:cs="Times New Roman"/>
          <w:sz w:val="24"/>
          <w:szCs w:val="24"/>
          <w:lang w:eastAsia="tr-TR"/>
        </w:rPr>
        <w:t xml:space="preserve"> Diğer gelirler, %</w:t>
      </w:r>
      <w:r w:rsidR="00F74A14">
        <w:rPr>
          <w:rFonts w:ascii="Times New Roman" w:eastAsia="Times New Roman" w:hAnsi="Times New Roman" w:cs="Times New Roman"/>
          <w:sz w:val="24"/>
          <w:szCs w:val="24"/>
          <w:lang w:eastAsia="tr-TR"/>
        </w:rPr>
        <w:t xml:space="preserve"> 8,92</w:t>
      </w:r>
      <w:r w:rsidRPr="00AB662B">
        <w:rPr>
          <w:rFonts w:ascii="Times New Roman" w:eastAsia="Times New Roman" w:hAnsi="Times New Roman" w:cs="Times New Roman"/>
          <w:sz w:val="24"/>
          <w:szCs w:val="24"/>
          <w:lang w:eastAsia="tr-TR"/>
        </w:rPr>
        <w:t xml:space="preserve"> sermaye gelirleri olmak üzere toplam 252.000.000,00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4"/>
          <w:szCs w:val="24"/>
          <w:lang w:eastAsia="tr-TR"/>
        </w:rPr>
        <w:t xml:space="preserve"> olarak tahmin edilmiştir.  </w:t>
      </w:r>
    </w:p>
    <w:tbl>
      <w:tblPr>
        <w:tblW w:w="10091" w:type="dxa"/>
        <w:tblInd w:w="80" w:type="dxa"/>
        <w:tblCellMar>
          <w:left w:w="70" w:type="dxa"/>
          <w:right w:w="70" w:type="dxa"/>
        </w:tblCellMar>
        <w:tblLook w:val="04A0" w:firstRow="1" w:lastRow="0" w:firstColumn="1" w:lastColumn="0" w:noHBand="0" w:noVBand="1"/>
      </w:tblPr>
      <w:tblGrid>
        <w:gridCol w:w="406"/>
        <w:gridCol w:w="1789"/>
        <w:gridCol w:w="1269"/>
        <w:gridCol w:w="627"/>
        <w:gridCol w:w="1376"/>
        <w:gridCol w:w="782"/>
        <w:gridCol w:w="1257"/>
        <w:gridCol w:w="627"/>
        <w:gridCol w:w="1376"/>
        <w:gridCol w:w="627"/>
      </w:tblGrid>
      <w:tr w:rsidR="00AB662B" w:rsidRPr="00AB662B" w:rsidTr="00FF1D21">
        <w:trPr>
          <w:trHeight w:val="509"/>
        </w:trPr>
        <w:tc>
          <w:tcPr>
            <w:tcW w:w="10091" w:type="dxa"/>
            <w:gridSpan w:val="10"/>
            <w:tcBorders>
              <w:top w:val="single" w:sz="8" w:space="0" w:color="FFFFFF"/>
              <w:left w:val="single" w:sz="8" w:space="0" w:color="FFFFFF"/>
              <w:bottom w:val="single" w:sz="12" w:space="0" w:color="FFFFFF"/>
              <w:right w:val="nil"/>
            </w:tcBorders>
            <w:shd w:val="clear" w:color="000000" w:fill="4F81BD"/>
            <w:vAlign w:val="center"/>
            <w:hideMark/>
          </w:tcPr>
          <w:p w:rsidR="00AB662B" w:rsidRPr="00AB662B" w:rsidRDefault="00AB662B" w:rsidP="00AB662B">
            <w:pPr>
              <w:spacing w:after="0" w:line="240" w:lineRule="auto"/>
              <w:jc w:val="center"/>
              <w:rPr>
                <w:rFonts w:ascii="Arial" w:eastAsia="Times New Roman" w:hAnsi="Arial" w:cs="Arial"/>
                <w:b/>
                <w:bCs/>
                <w:color w:val="000000"/>
                <w:sz w:val="20"/>
                <w:szCs w:val="20"/>
                <w:lang w:eastAsia="tr-TR"/>
              </w:rPr>
            </w:pPr>
            <w:r w:rsidRPr="00AB662B">
              <w:rPr>
                <w:rFonts w:ascii="Arial" w:eastAsia="Times New Roman" w:hAnsi="Arial" w:cs="Arial"/>
                <w:b/>
                <w:bCs/>
                <w:color w:val="000000"/>
                <w:sz w:val="20"/>
                <w:szCs w:val="20"/>
                <w:lang w:eastAsia="tr-TR"/>
              </w:rPr>
              <w:t xml:space="preserve">2017-2018 Yılı Bütçe Gelir Tahmini, İlk Altı Aylık Gerçekleşme Tutarları ve </w:t>
            </w:r>
          </w:p>
          <w:p w:rsidR="00AB662B" w:rsidRPr="00AB662B" w:rsidRDefault="00AB662B" w:rsidP="00AB662B">
            <w:pPr>
              <w:spacing w:after="0" w:line="240" w:lineRule="auto"/>
              <w:jc w:val="center"/>
              <w:rPr>
                <w:rFonts w:ascii="Arial" w:eastAsia="Times New Roman" w:hAnsi="Arial" w:cs="Arial"/>
                <w:b/>
                <w:bCs/>
                <w:color w:val="000000"/>
                <w:sz w:val="20"/>
                <w:szCs w:val="20"/>
                <w:lang w:eastAsia="tr-TR"/>
              </w:rPr>
            </w:pPr>
            <w:r w:rsidRPr="00AB662B">
              <w:rPr>
                <w:rFonts w:ascii="Arial" w:eastAsia="Times New Roman" w:hAnsi="Arial" w:cs="Arial"/>
                <w:b/>
                <w:bCs/>
                <w:color w:val="000000"/>
                <w:sz w:val="20"/>
                <w:szCs w:val="20"/>
                <w:lang w:eastAsia="tr-TR"/>
              </w:rPr>
              <w:t>Gelir Türünün Toplam Gelire Oranları.</w:t>
            </w:r>
          </w:p>
        </w:tc>
      </w:tr>
      <w:tr w:rsidR="00AB662B" w:rsidRPr="00AB662B" w:rsidTr="00FF1D21">
        <w:trPr>
          <w:trHeight w:val="393"/>
        </w:trPr>
        <w:tc>
          <w:tcPr>
            <w:tcW w:w="10091" w:type="dxa"/>
            <w:gridSpan w:val="10"/>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000000"/>
                <w:lang w:eastAsia="tr-TR"/>
              </w:rPr>
            </w:pPr>
            <w:r w:rsidRPr="00AB662B">
              <w:rPr>
                <w:rFonts w:ascii="Arial" w:eastAsia="Times New Roman" w:hAnsi="Arial" w:cs="Arial"/>
                <w:b/>
                <w:bCs/>
                <w:color w:val="000000"/>
                <w:lang w:eastAsia="tr-TR"/>
              </w:rPr>
              <w:t>EKONOMİK SINIFLANDIRMAYA GÖRE BÜTÇE GELİR TAHMİNİ VE GERÇEKLEŞMELERİ</w:t>
            </w:r>
          </w:p>
        </w:tc>
      </w:tr>
      <w:tr w:rsidR="00AB662B" w:rsidRPr="00AB662B" w:rsidTr="00FF1D21">
        <w:trPr>
          <w:trHeight w:val="315"/>
        </w:trPr>
        <w:tc>
          <w:tcPr>
            <w:tcW w:w="406"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FFFFFF"/>
                <w:sz w:val="16"/>
                <w:szCs w:val="16"/>
                <w:lang w:eastAsia="tr-TR"/>
              </w:rPr>
            </w:pPr>
            <w:r w:rsidRPr="00AB662B">
              <w:rPr>
                <w:rFonts w:ascii="Arial" w:eastAsia="Times New Roman" w:hAnsi="Arial" w:cs="Arial"/>
                <w:b/>
                <w:bCs/>
                <w:color w:val="FFFFFF"/>
                <w:sz w:val="16"/>
                <w:szCs w:val="16"/>
                <w:lang w:eastAsia="tr-TR"/>
              </w:rPr>
              <w:t>EKONOMİK KODU</w:t>
            </w:r>
          </w:p>
        </w:tc>
        <w:tc>
          <w:tcPr>
            <w:tcW w:w="1789" w:type="dxa"/>
            <w:vMerge w:val="restart"/>
            <w:tcBorders>
              <w:top w:val="nil"/>
              <w:left w:val="single" w:sz="12" w:space="0" w:color="FFFFFF"/>
              <w:bottom w:val="nil"/>
              <w:right w:val="single" w:sz="8" w:space="0" w:color="FFFFFF"/>
            </w:tcBorders>
            <w:shd w:val="clear" w:color="000000" w:fill="D3DFEE"/>
            <w:noWrap/>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AÇIKLAMA</w:t>
            </w:r>
          </w:p>
        </w:tc>
        <w:tc>
          <w:tcPr>
            <w:tcW w:w="4031" w:type="dxa"/>
            <w:gridSpan w:val="4"/>
            <w:tcBorders>
              <w:top w:val="single" w:sz="8" w:space="0" w:color="FFFFFF"/>
              <w:left w:val="nil"/>
              <w:bottom w:val="single" w:sz="8" w:space="0" w:color="FFFFFF"/>
              <w:right w:val="nil"/>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2017 MALİ YILI</w:t>
            </w:r>
          </w:p>
        </w:tc>
        <w:tc>
          <w:tcPr>
            <w:tcW w:w="3865" w:type="dxa"/>
            <w:gridSpan w:val="4"/>
            <w:tcBorders>
              <w:top w:val="single" w:sz="8" w:space="0" w:color="FFFFFF"/>
              <w:left w:val="single" w:sz="8" w:space="0" w:color="FFFFFF"/>
              <w:bottom w:val="single" w:sz="8" w:space="0" w:color="FFFFFF"/>
              <w:right w:val="nil"/>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2018 MALİ YILI</w:t>
            </w:r>
          </w:p>
        </w:tc>
      </w:tr>
      <w:tr w:rsidR="00AB662B" w:rsidRPr="00AB662B" w:rsidTr="00FF1D21">
        <w:trPr>
          <w:trHeight w:val="812"/>
        </w:trPr>
        <w:tc>
          <w:tcPr>
            <w:tcW w:w="406" w:type="dxa"/>
            <w:vMerge/>
            <w:tcBorders>
              <w:top w:val="nil"/>
              <w:left w:val="single" w:sz="8" w:space="0" w:color="FFFFFF"/>
              <w:bottom w:val="single" w:sz="8" w:space="0" w:color="FFFFFF"/>
              <w:right w:val="single" w:sz="12" w:space="0" w:color="FFFFFF"/>
            </w:tcBorders>
            <w:vAlign w:val="center"/>
            <w:hideMark/>
          </w:tcPr>
          <w:p w:rsidR="00AB662B" w:rsidRPr="00AB662B" w:rsidRDefault="00AB662B" w:rsidP="00AB662B">
            <w:pPr>
              <w:spacing w:after="0" w:line="240" w:lineRule="auto"/>
              <w:rPr>
                <w:rFonts w:ascii="Arial" w:eastAsia="Times New Roman" w:hAnsi="Arial" w:cs="Arial"/>
                <w:b/>
                <w:bCs/>
                <w:color w:val="FFFFFF"/>
                <w:sz w:val="16"/>
                <w:szCs w:val="16"/>
                <w:lang w:eastAsia="tr-TR"/>
              </w:rPr>
            </w:pPr>
          </w:p>
        </w:tc>
        <w:tc>
          <w:tcPr>
            <w:tcW w:w="1789" w:type="dxa"/>
            <w:vMerge/>
            <w:tcBorders>
              <w:top w:val="nil"/>
              <w:left w:val="single" w:sz="12" w:space="0" w:color="FFFFFF"/>
              <w:bottom w:val="nil"/>
              <w:right w:val="single" w:sz="8" w:space="0" w:color="FFFFFF"/>
            </w:tcBorders>
            <w:vAlign w:val="center"/>
            <w:hideMark/>
          </w:tcPr>
          <w:p w:rsidR="00AB662B" w:rsidRPr="00AB662B" w:rsidRDefault="00AB662B" w:rsidP="00AB662B">
            <w:pPr>
              <w:spacing w:after="0" w:line="240" w:lineRule="auto"/>
              <w:rPr>
                <w:rFonts w:ascii="Arial" w:eastAsia="Times New Roman" w:hAnsi="Arial" w:cs="Arial"/>
                <w:b/>
                <w:bCs/>
                <w:color w:val="000000"/>
                <w:sz w:val="16"/>
                <w:szCs w:val="16"/>
                <w:lang w:eastAsia="tr-TR"/>
              </w:rPr>
            </w:pPr>
          </w:p>
        </w:tc>
        <w:tc>
          <w:tcPr>
            <w:tcW w:w="1269"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BÜTÇE</w:t>
            </w:r>
          </w:p>
        </w:tc>
        <w:tc>
          <w:tcPr>
            <w:tcW w:w="627"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353"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GERÇEKLEŞME OCAK - HAZİRAN</w:t>
            </w:r>
          </w:p>
        </w:tc>
        <w:tc>
          <w:tcPr>
            <w:tcW w:w="782"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257"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color w:val="000000"/>
                <w:sz w:val="16"/>
                <w:szCs w:val="16"/>
                <w:lang w:eastAsia="tr-TR"/>
              </w:rPr>
            </w:pPr>
            <w:r w:rsidRPr="00AB662B">
              <w:rPr>
                <w:rFonts w:ascii="Arial" w:eastAsia="Times New Roman" w:hAnsi="Arial" w:cs="Arial"/>
                <w:b/>
                <w:color w:val="000000"/>
                <w:sz w:val="16"/>
                <w:szCs w:val="16"/>
                <w:lang w:eastAsia="tr-TR"/>
              </w:rPr>
              <w:t>BÜTÇE</w:t>
            </w:r>
          </w:p>
        </w:tc>
        <w:tc>
          <w:tcPr>
            <w:tcW w:w="627"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c>
          <w:tcPr>
            <w:tcW w:w="1353" w:type="dxa"/>
            <w:tcBorders>
              <w:top w:val="nil"/>
              <w:left w:val="nil"/>
              <w:bottom w:val="nil"/>
              <w:right w:val="single" w:sz="8" w:space="0" w:color="FFFFFF"/>
            </w:tcBorders>
            <w:shd w:val="clear" w:color="000000" w:fill="D3DFEE"/>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GERÇEKLEŞME OCAK-HAZİRAN</w:t>
            </w:r>
          </w:p>
        </w:tc>
        <w:tc>
          <w:tcPr>
            <w:tcW w:w="627" w:type="dxa"/>
            <w:tcBorders>
              <w:top w:val="nil"/>
              <w:left w:val="nil"/>
              <w:bottom w:val="nil"/>
              <w:right w:val="single" w:sz="8" w:space="0" w:color="FFFFFF"/>
            </w:tcBorders>
            <w:shd w:val="clear" w:color="000000" w:fill="D3DFEE"/>
            <w:textDirection w:val="btLr"/>
            <w:vAlign w:val="center"/>
            <w:hideMark/>
          </w:tcPr>
          <w:p w:rsidR="00AB662B" w:rsidRPr="00AB662B" w:rsidRDefault="00AB662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TOPLAMA ORANI</w:t>
            </w:r>
            <w:r w:rsidRPr="00AB662B">
              <w:rPr>
                <w:rFonts w:ascii="Arial" w:eastAsia="Times New Roman" w:hAnsi="Arial" w:cs="Arial"/>
                <w:b/>
                <w:bCs/>
                <w:color w:val="000000"/>
                <w:sz w:val="16"/>
                <w:szCs w:val="16"/>
                <w:lang w:eastAsia="tr-TR"/>
              </w:rPr>
              <w:br/>
              <w:t>%</w:t>
            </w:r>
          </w:p>
        </w:tc>
      </w:tr>
      <w:tr w:rsidR="00AB662B" w:rsidRPr="00AB662B" w:rsidTr="00FF1D21">
        <w:trPr>
          <w:trHeight w:val="439"/>
        </w:trPr>
        <w:tc>
          <w:tcPr>
            <w:tcW w:w="406" w:type="dxa"/>
            <w:tcBorders>
              <w:top w:val="nil"/>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1</w:t>
            </w:r>
          </w:p>
        </w:tc>
        <w:tc>
          <w:tcPr>
            <w:tcW w:w="178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VERGİ GELİRLERİ</w:t>
            </w:r>
          </w:p>
        </w:tc>
        <w:tc>
          <w:tcPr>
            <w:tcW w:w="126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62.692.000,00</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31,50</w:t>
            </w:r>
          </w:p>
        </w:tc>
        <w:tc>
          <w:tcPr>
            <w:tcW w:w="135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23.245.342,03</w:t>
            </w:r>
          </w:p>
        </w:tc>
        <w:tc>
          <w:tcPr>
            <w:tcW w:w="782"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454BB8"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30,48</w:t>
            </w:r>
          </w:p>
        </w:tc>
        <w:tc>
          <w:tcPr>
            <w:tcW w:w="125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88.085.000,00</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34,95</w:t>
            </w:r>
          </w:p>
        </w:tc>
        <w:tc>
          <w:tcPr>
            <w:tcW w:w="135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26.298.266,75</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454BB8" w:rsidP="00AB662B">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30,16</w:t>
            </w:r>
          </w:p>
        </w:tc>
      </w:tr>
      <w:tr w:rsidR="00AB662B" w:rsidRPr="00AB662B" w:rsidTr="00FF1D21">
        <w:trPr>
          <w:trHeight w:val="439"/>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3</w:t>
            </w:r>
          </w:p>
        </w:tc>
        <w:tc>
          <w:tcPr>
            <w:tcW w:w="1789" w:type="dxa"/>
            <w:tcBorders>
              <w:top w:val="nil"/>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TEŞEBBÜS VE MÜLKİYET GELİRLERİ</w:t>
            </w:r>
          </w:p>
        </w:tc>
        <w:tc>
          <w:tcPr>
            <w:tcW w:w="126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25.626.000,00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12,88</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12.404.578,62</w:t>
            </w:r>
          </w:p>
        </w:tc>
        <w:tc>
          <w:tcPr>
            <w:tcW w:w="782"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454BB8"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16,26</w:t>
            </w:r>
          </w:p>
        </w:tc>
        <w:tc>
          <w:tcPr>
            <w:tcW w:w="125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42.797.000,00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16,98</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13.406.068,70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454BB8" w:rsidP="00AB662B">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15,38</w:t>
            </w:r>
          </w:p>
        </w:tc>
      </w:tr>
      <w:tr w:rsidR="00AB662B" w:rsidRPr="00AB662B" w:rsidTr="00FF1D21">
        <w:trPr>
          <w:trHeight w:val="439"/>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4</w:t>
            </w:r>
          </w:p>
        </w:tc>
        <w:tc>
          <w:tcPr>
            <w:tcW w:w="178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ALINAN BAĞIŞ VE YARD. İLE ÖZEL GELİRLER</w:t>
            </w:r>
          </w:p>
        </w:tc>
        <w:tc>
          <w:tcPr>
            <w:tcW w:w="126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11.840.000,00</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5,95</w:t>
            </w:r>
          </w:p>
        </w:tc>
        <w:tc>
          <w:tcPr>
            <w:tcW w:w="135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1.202.378,32</w:t>
            </w:r>
          </w:p>
        </w:tc>
        <w:tc>
          <w:tcPr>
            <w:tcW w:w="782"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454BB8"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1,58</w:t>
            </w:r>
          </w:p>
        </w:tc>
        <w:tc>
          <w:tcPr>
            <w:tcW w:w="125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135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596.026,48</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454BB8" w:rsidP="00AB662B">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0,68</w:t>
            </w:r>
          </w:p>
        </w:tc>
      </w:tr>
      <w:tr w:rsidR="00AB662B" w:rsidRPr="00AB662B" w:rsidTr="00FF1D21">
        <w:trPr>
          <w:trHeight w:val="344"/>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5</w:t>
            </w:r>
          </w:p>
        </w:tc>
        <w:tc>
          <w:tcPr>
            <w:tcW w:w="1789" w:type="dxa"/>
            <w:tcBorders>
              <w:top w:val="nil"/>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DİĞER GELİRLER</w:t>
            </w:r>
          </w:p>
        </w:tc>
        <w:tc>
          <w:tcPr>
            <w:tcW w:w="126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79.355.000,00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39,88</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37.545.336,46</w:t>
            </w:r>
          </w:p>
        </w:tc>
        <w:tc>
          <w:tcPr>
            <w:tcW w:w="782"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454BB8"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49,22</w:t>
            </w:r>
          </w:p>
        </w:tc>
        <w:tc>
          <w:tcPr>
            <w:tcW w:w="125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98.848.000,00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39,23</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454BB8" w:rsidP="0007127B">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43.705.800,</w:t>
            </w:r>
            <w:r w:rsidR="0007127B">
              <w:rPr>
                <w:rFonts w:ascii="Calibri" w:eastAsia="Times New Roman" w:hAnsi="Calibri" w:cs="Arial TUR"/>
                <w:b/>
                <w:color w:val="943634"/>
                <w:sz w:val="16"/>
                <w:szCs w:val="16"/>
                <w:lang w:eastAsia="tr-TR"/>
              </w:rPr>
              <w:t>02</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454BB8" w:rsidP="00AB662B">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50,13</w:t>
            </w:r>
          </w:p>
        </w:tc>
      </w:tr>
      <w:tr w:rsidR="00AB662B" w:rsidRPr="00AB662B" w:rsidTr="00FF1D21">
        <w:trPr>
          <w:trHeight w:val="344"/>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6</w:t>
            </w:r>
          </w:p>
        </w:tc>
        <w:tc>
          <w:tcPr>
            <w:tcW w:w="1789" w:type="dxa"/>
            <w:tcBorders>
              <w:top w:val="nil"/>
              <w:left w:val="nil"/>
              <w:bottom w:val="single" w:sz="8" w:space="0" w:color="FFFFFF"/>
              <w:right w:val="single" w:sz="8" w:space="0" w:color="FFFFFF"/>
            </w:tcBorders>
            <w:shd w:val="clear" w:color="000000" w:fill="A7BFDE"/>
            <w:vAlign w:val="center"/>
            <w:hideMark/>
          </w:tcPr>
          <w:p w:rsidR="00AB662B" w:rsidRPr="00AB662B" w:rsidRDefault="00AB662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SERMAYE GELİRLERİ</w:t>
            </w:r>
          </w:p>
        </w:tc>
        <w:tc>
          <w:tcPr>
            <w:tcW w:w="1269"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19.587.000,00</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9,84</w:t>
            </w:r>
          </w:p>
        </w:tc>
        <w:tc>
          <w:tcPr>
            <w:tcW w:w="135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1.876.458,01</w:t>
            </w:r>
          </w:p>
        </w:tc>
        <w:tc>
          <w:tcPr>
            <w:tcW w:w="782"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454BB8"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2,46</w:t>
            </w:r>
          </w:p>
        </w:tc>
        <w:tc>
          <w:tcPr>
            <w:tcW w:w="125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22.470.000,00</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8,92</w:t>
            </w:r>
          </w:p>
        </w:tc>
        <w:tc>
          <w:tcPr>
            <w:tcW w:w="1353"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3.183.912,00</w:t>
            </w:r>
          </w:p>
        </w:tc>
        <w:tc>
          <w:tcPr>
            <w:tcW w:w="627" w:type="dxa"/>
            <w:tcBorders>
              <w:top w:val="nil"/>
              <w:left w:val="nil"/>
              <w:bottom w:val="single" w:sz="8" w:space="0" w:color="FFFFFF"/>
              <w:right w:val="single" w:sz="8" w:space="0" w:color="FFFFFF"/>
            </w:tcBorders>
            <w:shd w:val="clear" w:color="000000" w:fill="A7BFDE"/>
            <w:noWrap/>
            <w:vAlign w:val="center"/>
            <w:hideMark/>
          </w:tcPr>
          <w:p w:rsidR="00AB662B" w:rsidRPr="00AB662B" w:rsidRDefault="00454BB8" w:rsidP="00AB662B">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3,65</w:t>
            </w:r>
          </w:p>
        </w:tc>
      </w:tr>
      <w:tr w:rsidR="00AB662B" w:rsidRPr="00AB662B" w:rsidTr="00FF1D21">
        <w:trPr>
          <w:trHeight w:val="344"/>
        </w:trPr>
        <w:tc>
          <w:tcPr>
            <w:tcW w:w="406" w:type="dxa"/>
            <w:tcBorders>
              <w:top w:val="single" w:sz="8" w:space="0" w:color="FFFFFF"/>
              <w:left w:val="single" w:sz="8" w:space="0" w:color="FFFFFF"/>
              <w:bottom w:val="nil"/>
              <w:right w:val="single" w:sz="12" w:space="0" w:color="FFFFFF"/>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9</w:t>
            </w:r>
          </w:p>
        </w:tc>
        <w:tc>
          <w:tcPr>
            <w:tcW w:w="1789" w:type="dxa"/>
            <w:tcBorders>
              <w:top w:val="nil"/>
              <w:left w:val="nil"/>
              <w:bottom w:val="single" w:sz="8" w:space="0" w:color="FFFFFF"/>
              <w:right w:val="single" w:sz="8" w:space="0" w:color="FFFFFF"/>
            </w:tcBorders>
            <w:shd w:val="clear" w:color="000000" w:fill="D3DFEE"/>
            <w:vAlign w:val="center"/>
            <w:hideMark/>
          </w:tcPr>
          <w:p w:rsidR="00AB662B" w:rsidRPr="00AB662B" w:rsidRDefault="00AB662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BORÇ VERME (-)</w:t>
            </w:r>
          </w:p>
        </w:tc>
        <w:tc>
          <w:tcPr>
            <w:tcW w:w="126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-100.000,00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-0,05</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782"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125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-200.000,00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-0,08</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r>
      <w:tr w:rsidR="00AB662B" w:rsidRPr="00AB662B" w:rsidTr="00FF1D21">
        <w:trPr>
          <w:trHeight w:val="344"/>
        </w:trPr>
        <w:tc>
          <w:tcPr>
            <w:tcW w:w="406"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AB662B" w:rsidRPr="00AB662B" w:rsidRDefault="00AB662B" w:rsidP="00AB662B">
            <w:pPr>
              <w:spacing w:after="0" w:line="240" w:lineRule="auto"/>
              <w:rPr>
                <w:rFonts w:ascii="Times New Roman" w:eastAsia="Times New Roman" w:hAnsi="Times New Roman" w:cs="Times New Roman"/>
                <w:color w:val="000000"/>
                <w:sz w:val="16"/>
                <w:szCs w:val="20"/>
                <w:lang w:eastAsia="tr-TR"/>
              </w:rPr>
            </w:pPr>
            <w:r w:rsidRPr="00AB662B">
              <w:rPr>
                <w:rFonts w:ascii="Times New Roman" w:eastAsia="Times New Roman" w:hAnsi="Times New Roman" w:cs="Times New Roman"/>
                <w:color w:val="000000"/>
                <w:sz w:val="16"/>
                <w:szCs w:val="20"/>
                <w:lang w:eastAsia="tr-TR"/>
              </w:rPr>
              <w:t> </w:t>
            </w:r>
          </w:p>
        </w:tc>
        <w:tc>
          <w:tcPr>
            <w:tcW w:w="178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 O P L A M</w:t>
            </w:r>
          </w:p>
        </w:tc>
        <w:tc>
          <w:tcPr>
            <w:tcW w:w="1269"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199.000.000,00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100,00</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76.274.093,44</w:t>
            </w:r>
          </w:p>
        </w:tc>
        <w:tc>
          <w:tcPr>
            <w:tcW w:w="782"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100,00</w:t>
            </w:r>
          </w:p>
        </w:tc>
        <w:tc>
          <w:tcPr>
            <w:tcW w:w="125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252.000.000,00</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100,00</w:t>
            </w:r>
          </w:p>
        </w:tc>
        <w:tc>
          <w:tcPr>
            <w:tcW w:w="1353"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454BB8">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8</w:t>
            </w:r>
            <w:r w:rsidR="00454BB8">
              <w:rPr>
                <w:rFonts w:ascii="Calibri" w:eastAsia="Times New Roman" w:hAnsi="Calibri" w:cs="Arial TUR"/>
                <w:b/>
                <w:bCs/>
                <w:color w:val="943634"/>
                <w:sz w:val="16"/>
                <w:szCs w:val="16"/>
                <w:lang w:eastAsia="tr-TR"/>
              </w:rPr>
              <w:t>7</w:t>
            </w:r>
            <w:r w:rsidRPr="00AB662B">
              <w:rPr>
                <w:rFonts w:ascii="Calibri" w:eastAsia="Times New Roman" w:hAnsi="Calibri" w:cs="Arial TUR"/>
                <w:b/>
                <w:bCs/>
                <w:color w:val="943634"/>
                <w:sz w:val="16"/>
                <w:szCs w:val="16"/>
                <w:lang w:eastAsia="tr-TR"/>
              </w:rPr>
              <w:t>.</w:t>
            </w:r>
            <w:r w:rsidR="00454BB8">
              <w:rPr>
                <w:rFonts w:ascii="Calibri" w:eastAsia="Times New Roman" w:hAnsi="Calibri" w:cs="Arial TUR"/>
                <w:b/>
                <w:bCs/>
                <w:color w:val="943634"/>
                <w:sz w:val="16"/>
                <w:szCs w:val="16"/>
                <w:lang w:eastAsia="tr-TR"/>
              </w:rPr>
              <w:t>190</w:t>
            </w:r>
            <w:r w:rsidRPr="00AB662B">
              <w:rPr>
                <w:rFonts w:ascii="Calibri" w:eastAsia="Times New Roman" w:hAnsi="Calibri" w:cs="Arial TUR"/>
                <w:b/>
                <w:bCs/>
                <w:color w:val="943634"/>
                <w:sz w:val="16"/>
                <w:szCs w:val="16"/>
                <w:lang w:eastAsia="tr-TR"/>
              </w:rPr>
              <w:t>.</w:t>
            </w:r>
            <w:r w:rsidR="00454BB8">
              <w:rPr>
                <w:rFonts w:ascii="Calibri" w:eastAsia="Times New Roman" w:hAnsi="Calibri" w:cs="Arial TUR"/>
                <w:b/>
                <w:bCs/>
                <w:color w:val="943634"/>
                <w:sz w:val="16"/>
                <w:szCs w:val="16"/>
                <w:lang w:eastAsia="tr-TR"/>
              </w:rPr>
              <w:t>073</w:t>
            </w:r>
            <w:r w:rsidRPr="00AB662B">
              <w:rPr>
                <w:rFonts w:ascii="Calibri" w:eastAsia="Times New Roman" w:hAnsi="Calibri" w:cs="Arial TUR"/>
                <w:b/>
                <w:bCs/>
                <w:color w:val="943634"/>
                <w:sz w:val="16"/>
                <w:szCs w:val="16"/>
                <w:lang w:eastAsia="tr-TR"/>
              </w:rPr>
              <w:t>,</w:t>
            </w:r>
            <w:r w:rsidR="00454BB8">
              <w:rPr>
                <w:rFonts w:ascii="Calibri" w:eastAsia="Times New Roman" w:hAnsi="Calibri" w:cs="Arial TUR"/>
                <w:b/>
                <w:bCs/>
                <w:color w:val="943634"/>
                <w:sz w:val="16"/>
                <w:szCs w:val="16"/>
                <w:lang w:eastAsia="tr-TR"/>
              </w:rPr>
              <w:t>95</w:t>
            </w:r>
          </w:p>
        </w:tc>
        <w:tc>
          <w:tcPr>
            <w:tcW w:w="627" w:type="dxa"/>
            <w:tcBorders>
              <w:top w:val="nil"/>
              <w:left w:val="nil"/>
              <w:bottom w:val="single" w:sz="8" w:space="0" w:color="FFFFFF"/>
              <w:right w:val="single" w:sz="8" w:space="0" w:color="FFFFFF"/>
            </w:tcBorders>
            <w:shd w:val="clear" w:color="000000" w:fill="D3DFEE"/>
            <w:noWrap/>
            <w:vAlign w:val="center"/>
            <w:hideMark/>
          </w:tcPr>
          <w:p w:rsidR="00AB662B" w:rsidRPr="00AB662B" w:rsidRDefault="00AB662B" w:rsidP="00AB662B">
            <w:pPr>
              <w:spacing w:after="0" w:line="240" w:lineRule="auto"/>
              <w:jc w:val="right"/>
              <w:rPr>
                <w:rFonts w:ascii="Calibri" w:eastAsia="Times New Roman" w:hAnsi="Calibri" w:cs="Arial TUR"/>
                <w:b/>
                <w:bCs/>
                <w:color w:val="943634"/>
                <w:sz w:val="16"/>
                <w:szCs w:val="16"/>
                <w:lang w:eastAsia="tr-TR"/>
              </w:rPr>
            </w:pPr>
            <w:r w:rsidRPr="00AB662B">
              <w:rPr>
                <w:rFonts w:ascii="Calibri" w:eastAsia="Times New Roman" w:hAnsi="Calibri" w:cs="Arial TUR"/>
                <w:b/>
                <w:bCs/>
                <w:color w:val="943634"/>
                <w:sz w:val="16"/>
                <w:szCs w:val="16"/>
                <w:lang w:eastAsia="tr-TR"/>
              </w:rPr>
              <w:t>100,00</w:t>
            </w:r>
          </w:p>
        </w:tc>
      </w:tr>
      <w:tr w:rsidR="00AB662B" w:rsidRPr="00AB662B" w:rsidTr="00FF1D21">
        <w:trPr>
          <w:trHeight w:val="344"/>
        </w:trPr>
        <w:tc>
          <w:tcPr>
            <w:tcW w:w="406" w:type="dxa"/>
            <w:tcBorders>
              <w:top w:val="single" w:sz="8" w:space="0" w:color="FFFFFF"/>
              <w:left w:val="single" w:sz="8" w:space="0" w:color="FFFFFF"/>
              <w:bottom w:val="single" w:sz="8" w:space="0" w:color="FFFFFF"/>
              <w:right w:val="single" w:sz="12" w:space="0" w:color="FFFFFF"/>
            </w:tcBorders>
            <w:shd w:val="clear" w:color="000000" w:fill="4F81BD"/>
            <w:noWrap/>
            <w:vAlign w:val="center"/>
          </w:tcPr>
          <w:p w:rsidR="00AB662B" w:rsidRPr="00AB662B" w:rsidRDefault="00AB662B" w:rsidP="00AB662B">
            <w:pPr>
              <w:spacing w:after="0" w:line="240" w:lineRule="auto"/>
              <w:rPr>
                <w:rFonts w:ascii="Times New Roman" w:eastAsia="Times New Roman" w:hAnsi="Times New Roman" w:cs="Times New Roman"/>
                <w:color w:val="000000"/>
                <w:sz w:val="16"/>
                <w:szCs w:val="20"/>
                <w:lang w:eastAsia="tr-TR"/>
              </w:rPr>
            </w:pPr>
          </w:p>
        </w:tc>
        <w:tc>
          <w:tcPr>
            <w:tcW w:w="1789"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Times New Roman"/>
                <w:b/>
                <w:bCs/>
                <w:color w:val="8E0000"/>
                <w:sz w:val="16"/>
                <w:szCs w:val="18"/>
                <w:lang w:eastAsia="tr-TR"/>
              </w:rPr>
            </w:pPr>
          </w:p>
        </w:tc>
        <w:tc>
          <w:tcPr>
            <w:tcW w:w="1269"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right"/>
              <w:rPr>
                <w:rFonts w:ascii="Calibri" w:eastAsia="Times New Roman" w:hAnsi="Calibri" w:cs="Times New Roman"/>
                <w:b/>
                <w:bCs/>
                <w:color w:val="8E0000"/>
                <w:sz w:val="16"/>
                <w:szCs w:val="18"/>
                <w:lang w:eastAsia="tr-TR"/>
              </w:rPr>
            </w:pPr>
          </w:p>
        </w:tc>
        <w:tc>
          <w:tcPr>
            <w:tcW w:w="62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center"/>
              <w:rPr>
                <w:rFonts w:ascii="Calibri" w:eastAsia="Times New Roman" w:hAnsi="Calibri" w:cs="Times New Roman"/>
                <w:b/>
                <w:bCs/>
                <w:color w:val="8E0000"/>
                <w:sz w:val="16"/>
                <w:szCs w:val="18"/>
                <w:lang w:eastAsia="tr-TR"/>
              </w:rPr>
            </w:pPr>
          </w:p>
        </w:tc>
        <w:tc>
          <w:tcPr>
            <w:tcW w:w="1353"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right"/>
              <w:rPr>
                <w:rFonts w:ascii="Calibri" w:eastAsia="Times New Roman" w:hAnsi="Calibri" w:cs="Times New Roman"/>
                <w:b/>
                <w:bCs/>
                <w:color w:val="8E0000"/>
                <w:sz w:val="16"/>
                <w:szCs w:val="18"/>
                <w:lang w:eastAsia="tr-TR"/>
              </w:rPr>
            </w:pPr>
          </w:p>
        </w:tc>
        <w:tc>
          <w:tcPr>
            <w:tcW w:w="782"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jc w:val="center"/>
              <w:rPr>
                <w:rFonts w:ascii="Calibri" w:eastAsia="Times New Roman" w:hAnsi="Calibri" w:cs="Times New Roman"/>
                <w:b/>
                <w:bCs/>
                <w:color w:val="8E0000"/>
                <w:sz w:val="16"/>
                <w:szCs w:val="18"/>
                <w:lang w:eastAsia="tr-TR"/>
              </w:rPr>
            </w:pPr>
          </w:p>
        </w:tc>
        <w:tc>
          <w:tcPr>
            <w:tcW w:w="125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c>
          <w:tcPr>
            <w:tcW w:w="62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c>
          <w:tcPr>
            <w:tcW w:w="1353"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c>
          <w:tcPr>
            <w:tcW w:w="627" w:type="dxa"/>
            <w:tcBorders>
              <w:top w:val="nil"/>
              <w:left w:val="nil"/>
              <w:bottom w:val="single" w:sz="8" w:space="0" w:color="FFFFFF"/>
              <w:right w:val="single" w:sz="8" w:space="0" w:color="FFFFFF"/>
            </w:tcBorders>
            <w:shd w:val="clear" w:color="000000" w:fill="D3DFEE"/>
            <w:noWrap/>
            <w:vAlign w:val="center"/>
          </w:tcPr>
          <w:p w:rsidR="00AB662B" w:rsidRPr="00AB662B" w:rsidRDefault="00AB662B" w:rsidP="00AB662B">
            <w:pPr>
              <w:spacing w:after="0" w:line="240" w:lineRule="auto"/>
              <w:rPr>
                <w:rFonts w:ascii="Calibri" w:eastAsia="Times New Roman" w:hAnsi="Calibri" w:cs="Arial TUR"/>
                <w:b/>
                <w:bCs/>
                <w:color w:val="943634"/>
                <w:sz w:val="16"/>
                <w:szCs w:val="16"/>
                <w:lang w:eastAsia="tr-TR"/>
              </w:rPr>
            </w:pPr>
          </w:p>
        </w:tc>
      </w:tr>
    </w:tbl>
    <w:p w:rsidR="00485C98" w:rsidRDefault="00AB662B" w:rsidP="00AB662B">
      <w:pPr>
        <w:keepNext/>
        <w:keepLines/>
        <w:spacing w:before="120" w:after="120" w:line="288" w:lineRule="auto"/>
        <w:jc w:val="both"/>
        <w:outlineLvl w:val="1"/>
        <w:rPr>
          <w:rFonts w:ascii="Times New Roman" w:eastAsia="Times New Roman" w:hAnsi="Times New Roman" w:cs="Times New Roman"/>
          <w:sz w:val="24"/>
          <w:szCs w:val="24"/>
        </w:rPr>
      </w:pPr>
      <w:r w:rsidRPr="00AB662B">
        <w:rPr>
          <w:rFonts w:ascii="Times New Roman" w:eastAsia="Times New Roman" w:hAnsi="Times New Roman" w:cs="Times New Roman"/>
          <w:sz w:val="24"/>
          <w:szCs w:val="24"/>
        </w:rPr>
        <w:tab/>
      </w:r>
    </w:p>
    <w:p w:rsidR="00485C98" w:rsidRPr="00AB662B" w:rsidRDefault="00AB662B" w:rsidP="0034687C">
      <w:pPr>
        <w:keepNext/>
        <w:keepLines/>
        <w:spacing w:before="120" w:after="120" w:line="360" w:lineRule="auto"/>
        <w:ind w:firstLine="709"/>
        <w:jc w:val="both"/>
        <w:outlineLvl w:val="1"/>
        <w:rPr>
          <w:rFonts w:ascii="Times New Roman" w:eastAsia="Times New Roman" w:hAnsi="Times New Roman" w:cs="Times New Roman"/>
          <w:sz w:val="24"/>
          <w:szCs w:val="24"/>
        </w:rPr>
      </w:pPr>
      <w:r w:rsidRPr="00AB662B">
        <w:rPr>
          <w:rFonts w:ascii="Times New Roman" w:eastAsia="Times New Roman" w:hAnsi="Times New Roman" w:cs="Times New Roman"/>
          <w:sz w:val="24"/>
          <w:szCs w:val="24"/>
        </w:rPr>
        <w:t>Belediyemizin 2018 yılı ilk altı aylık net bütçe geliri 8</w:t>
      </w:r>
      <w:r w:rsidR="00F74A14">
        <w:rPr>
          <w:rFonts w:ascii="Times New Roman" w:eastAsia="Times New Roman" w:hAnsi="Times New Roman" w:cs="Times New Roman"/>
          <w:sz w:val="24"/>
          <w:szCs w:val="24"/>
        </w:rPr>
        <w:t>7</w:t>
      </w:r>
      <w:r w:rsidRPr="00AB662B">
        <w:rPr>
          <w:rFonts w:ascii="Times New Roman" w:eastAsia="Times New Roman" w:hAnsi="Times New Roman" w:cs="Times New Roman"/>
          <w:sz w:val="24"/>
          <w:szCs w:val="24"/>
        </w:rPr>
        <w:t>.</w:t>
      </w:r>
      <w:r w:rsidR="00F74A14">
        <w:rPr>
          <w:rFonts w:ascii="Times New Roman" w:eastAsia="Times New Roman" w:hAnsi="Times New Roman" w:cs="Times New Roman"/>
          <w:sz w:val="24"/>
          <w:szCs w:val="24"/>
        </w:rPr>
        <w:t>190</w:t>
      </w:r>
      <w:r w:rsidRPr="00AB662B">
        <w:rPr>
          <w:rFonts w:ascii="Times New Roman" w:eastAsia="Times New Roman" w:hAnsi="Times New Roman" w:cs="Times New Roman"/>
          <w:sz w:val="24"/>
          <w:szCs w:val="24"/>
        </w:rPr>
        <w:t>.</w:t>
      </w:r>
      <w:r w:rsidR="00F74A14">
        <w:rPr>
          <w:rFonts w:ascii="Times New Roman" w:eastAsia="Times New Roman" w:hAnsi="Times New Roman" w:cs="Times New Roman"/>
          <w:sz w:val="24"/>
          <w:szCs w:val="24"/>
        </w:rPr>
        <w:t>0</w:t>
      </w:r>
      <w:r w:rsidRPr="00AB662B">
        <w:rPr>
          <w:rFonts w:ascii="Times New Roman" w:eastAsia="Times New Roman" w:hAnsi="Times New Roman" w:cs="Times New Roman"/>
          <w:sz w:val="24"/>
          <w:szCs w:val="24"/>
        </w:rPr>
        <w:t>7</w:t>
      </w:r>
      <w:r w:rsidR="00F74A14">
        <w:rPr>
          <w:rFonts w:ascii="Times New Roman" w:eastAsia="Times New Roman" w:hAnsi="Times New Roman" w:cs="Times New Roman"/>
          <w:sz w:val="24"/>
          <w:szCs w:val="24"/>
        </w:rPr>
        <w:t>3</w:t>
      </w:r>
      <w:r w:rsidRPr="00AB662B">
        <w:rPr>
          <w:rFonts w:ascii="Times New Roman" w:eastAsia="Times New Roman" w:hAnsi="Times New Roman" w:cs="Times New Roman"/>
          <w:sz w:val="24"/>
          <w:szCs w:val="24"/>
        </w:rPr>
        <w:t>,</w:t>
      </w:r>
      <w:r w:rsidR="00F74A14">
        <w:rPr>
          <w:rFonts w:ascii="Times New Roman" w:eastAsia="Times New Roman" w:hAnsi="Times New Roman" w:cs="Times New Roman"/>
          <w:sz w:val="24"/>
          <w:szCs w:val="24"/>
        </w:rPr>
        <w:t>95</w:t>
      </w:r>
      <w:r w:rsidRPr="00AB662B">
        <w:rPr>
          <w:rFonts w:ascii="Times New Roman" w:eastAsia="Times New Roman" w:hAnsi="Times New Roman" w:cs="Times New Roman"/>
          <w:sz w:val="24"/>
          <w:szCs w:val="24"/>
        </w:rPr>
        <w:t xml:space="preserve"> </w:t>
      </w:r>
      <w:r w:rsidRPr="00AB662B">
        <w:rPr>
          <w:rFonts w:ascii="Arial TUR" w:eastAsia="Times New Roman" w:hAnsi="Arial TUR" w:cs="Arial TUR"/>
          <w:b/>
          <w:bCs/>
          <w:color w:val="53548A"/>
          <w:sz w:val="20"/>
          <w:szCs w:val="20"/>
        </w:rPr>
        <w:t>₺</w:t>
      </w:r>
      <w:r w:rsidRPr="00AB662B">
        <w:rPr>
          <w:rFonts w:ascii="Times New Roman" w:eastAsia="Times New Roman" w:hAnsi="Times New Roman" w:cs="Times New Roman"/>
          <w:sz w:val="24"/>
          <w:szCs w:val="24"/>
        </w:rPr>
        <w:t xml:space="preserve"> olmuştur. Bunun % </w:t>
      </w:r>
      <w:r w:rsidR="00F74A14">
        <w:rPr>
          <w:rFonts w:ascii="Times New Roman" w:eastAsia="Times New Roman" w:hAnsi="Times New Roman" w:cs="Times New Roman"/>
          <w:sz w:val="24"/>
          <w:szCs w:val="24"/>
        </w:rPr>
        <w:t>30,16’sı</w:t>
      </w:r>
      <w:r w:rsidRPr="00AB662B">
        <w:rPr>
          <w:rFonts w:ascii="Times New Roman" w:eastAsia="Times New Roman" w:hAnsi="Times New Roman" w:cs="Times New Roman"/>
          <w:sz w:val="24"/>
          <w:szCs w:val="24"/>
        </w:rPr>
        <w:t xml:space="preserve"> Vergi Gelirlerinden, % </w:t>
      </w:r>
      <w:r w:rsidR="00F74A14">
        <w:rPr>
          <w:rFonts w:ascii="Times New Roman" w:eastAsia="Times New Roman" w:hAnsi="Times New Roman" w:cs="Times New Roman"/>
          <w:sz w:val="24"/>
          <w:szCs w:val="24"/>
        </w:rPr>
        <w:t>15,38’i</w:t>
      </w:r>
      <w:r w:rsidRPr="00AB662B">
        <w:rPr>
          <w:rFonts w:ascii="Times New Roman" w:eastAsia="Times New Roman" w:hAnsi="Times New Roman" w:cs="Times New Roman"/>
          <w:sz w:val="24"/>
          <w:szCs w:val="24"/>
        </w:rPr>
        <w:t xml:space="preserve"> Teşebbüs ve Mülkiyet Gelirlerinden, % 0,</w:t>
      </w:r>
      <w:r w:rsidR="00F74A14">
        <w:rPr>
          <w:rFonts w:ascii="Times New Roman" w:eastAsia="Times New Roman" w:hAnsi="Times New Roman" w:cs="Times New Roman"/>
          <w:sz w:val="24"/>
          <w:szCs w:val="24"/>
        </w:rPr>
        <w:t>68</w:t>
      </w:r>
      <w:r w:rsidRPr="00AB662B">
        <w:rPr>
          <w:rFonts w:ascii="Times New Roman" w:eastAsia="Times New Roman" w:hAnsi="Times New Roman" w:cs="Times New Roman"/>
          <w:sz w:val="24"/>
          <w:szCs w:val="24"/>
        </w:rPr>
        <w:t>’</w:t>
      </w:r>
      <w:r w:rsidR="00F74A14">
        <w:rPr>
          <w:rFonts w:ascii="Times New Roman" w:eastAsia="Times New Roman" w:hAnsi="Times New Roman" w:cs="Times New Roman"/>
          <w:sz w:val="24"/>
          <w:szCs w:val="24"/>
        </w:rPr>
        <w:t>i</w:t>
      </w:r>
      <w:r w:rsidRPr="00AB662B">
        <w:rPr>
          <w:rFonts w:ascii="Times New Roman" w:eastAsia="Times New Roman" w:hAnsi="Times New Roman" w:cs="Times New Roman"/>
          <w:sz w:val="24"/>
          <w:szCs w:val="24"/>
        </w:rPr>
        <w:t xml:space="preserve"> Alınan Bağış ve Yardımlar ile Özel Gelirlerden, % </w:t>
      </w:r>
      <w:r w:rsidR="00F74A14">
        <w:rPr>
          <w:rFonts w:ascii="Times New Roman" w:eastAsia="Times New Roman" w:hAnsi="Times New Roman" w:cs="Times New Roman"/>
          <w:sz w:val="24"/>
          <w:szCs w:val="24"/>
        </w:rPr>
        <w:t>50,13</w:t>
      </w:r>
      <w:r w:rsidRPr="00AB662B">
        <w:rPr>
          <w:rFonts w:ascii="Times New Roman" w:eastAsia="Times New Roman" w:hAnsi="Times New Roman" w:cs="Times New Roman"/>
          <w:sz w:val="24"/>
          <w:szCs w:val="24"/>
        </w:rPr>
        <w:t>’</w:t>
      </w:r>
      <w:r w:rsidR="00F74A14">
        <w:rPr>
          <w:rFonts w:ascii="Times New Roman" w:eastAsia="Times New Roman" w:hAnsi="Times New Roman" w:cs="Times New Roman"/>
          <w:sz w:val="24"/>
          <w:szCs w:val="24"/>
        </w:rPr>
        <w:t>ü</w:t>
      </w:r>
      <w:r w:rsidRPr="00AB662B">
        <w:rPr>
          <w:rFonts w:ascii="Times New Roman" w:eastAsia="Times New Roman" w:hAnsi="Times New Roman" w:cs="Times New Roman"/>
          <w:sz w:val="24"/>
          <w:szCs w:val="24"/>
        </w:rPr>
        <w:t xml:space="preserve"> Diğer Gelirlerden ve % 3,</w:t>
      </w:r>
      <w:r w:rsidR="00F74A14">
        <w:rPr>
          <w:rFonts w:ascii="Times New Roman" w:eastAsia="Times New Roman" w:hAnsi="Times New Roman" w:cs="Times New Roman"/>
          <w:sz w:val="24"/>
          <w:szCs w:val="24"/>
        </w:rPr>
        <w:t>65</w:t>
      </w:r>
      <w:r w:rsidRPr="00AB662B">
        <w:rPr>
          <w:rFonts w:ascii="Times New Roman" w:eastAsia="Times New Roman" w:hAnsi="Times New Roman" w:cs="Times New Roman"/>
          <w:sz w:val="24"/>
          <w:szCs w:val="24"/>
        </w:rPr>
        <w:t>’ı Sermaye Gelirlerinden gerçekleşmiş bulunmaktadır.</w:t>
      </w:r>
    </w:p>
    <w:tbl>
      <w:tblPr>
        <w:tblW w:w="10055" w:type="dxa"/>
        <w:tblInd w:w="80" w:type="dxa"/>
        <w:tblCellMar>
          <w:left w:w="70" w:type="dxa"/>
          <w:right w:w="70" w:type="dxa"/>
        </w:tblCellMar>
        <w:tblLook w:val="04A0" w:firstRow="1" w:lastRow="0" w:firstColumn="1" w:lastColumn="0" w:noHBand="0" w:noVBand="1"/>
      </w:tblPr>
      <w:tblGrid>
        <w:gridCol w:w="346"/>
        <w:gridCol w:w="2054"/>
        <w:gridCol w:w="1287"/>
        <w:gridCol w:w="1444"/>
        <w:gridCol w:w="1350"/>
        <w:gridCol w:w="1444"/>
        <w:gridCol w:w="1137"/>
        <w:gridCol w:w="993"/>
      </w:tblGrid>
      <w:tr w:rsidR="00AB662B" w:rsidRPr="00AB662B" w:rsidTr="0092234B">
        <w:trPr>
          <w:trHeight w:val="380"/>
        </w:trPr>
        <w:tc>
          <w:tcPr>
            <w:tcW w:w="10055" w:type="dxa"/>
            <w:gridSpan w:val="8"/>
            <w:tcBorders>
              <w:top w:val="single" w:sz="12" w:space="0" w:color="FFFFFF"/>
              <w:left w:val="single" w:sz="8" w:space="0" w:color="FFFFFF"/>
              <w:bottom w:val="single" w:sz="8" w:space="0" w:color="FFFFFF"/>
              <w:right w:val="nil"/>
            </w:tcBorders>
            <w:shd w:val="clear" w:color="000000" w:fill="4F81BD"/>
            <w:noWrap/>
            <w:vAlign w:val="center"/>
            <w:hideMark/>
          </w:tcPr>
          <w:p w:rsidR="00AB662B" w:rsidRPr="00AB662B" w:rsidRDefault="00AB662B" w:rsidP="00AB662B">
            <w:pPr>
              <w:spacing w:after="0" w:line="240" w:lineRule="auto"/>
              <w:jc w:val="center"/>
              <w:rPr>
                <w:rFonts w:ascii="Arial" w:eastAsia="Times New Roman" w:hAnsi="Arial" w:cs="Arial"/>
                <w:b/>
                <w:bCs/>
                <w:color w:val="FFFFFF"/>
                <w:lang w:eastAsia="tr-TR"/>
              </w:rPr>
            </w:pPr>
            <w:r w:rsidRPr="00AB662B">
              <w:rPr>
                <w:rFonts w:ascii="Times New Roman" w:eastAsia="Times New Roman" w:hAnsi="Times New Roman" w:cs="Times New Roman"/>
                <w:b/>
                <w:bCs/>
                <w:sz w:val="24"/>
                <w:szCs w:val="24"/>
                <w:lang w:eastAsia="tr-TR"/>
              </w:rPr>
              <w:t xml:space="preserve"> </w:t>
            </w:r>
            <w:r w:rsidRPr="00AB662B">
              <w:rPr>
                <w:rFonts w:ascii="Arial" w:eastAsia="Times New Roman" w:hAnsi="Arial" w:cs="Arial"/>
                <w:b/>
                <w:bCs/>
                <w:color w:val="FFFFFF"/>
                <w:lang w:eastAsia="tr-TR"/>
              </w:rPr>
              <w:t>2017-2018 DÖNEMİ BÜTÇE GELİRLERİ</w:t>
            </w:r>
          </w:p>
        </w:tc>
      </w:tr>
      <w:tr w:rsidR="0092234B" w:rsidRPr="00AB662B" w:rsidTr="0092234B">
        <w:trPr>
          <w:trHeight w:val="518"/>
        </w:trPr>
        <w:tc>
          <w:tcPr>
            <w:tcW w:w="346" w:type="dxa"/>
            <w:vMerge w:val="restart"/>
            <w:tcBorders>
              <w:top w:val="nil"/>
              <w:left w:val="single" w:sz="8" w:space="0" w:color="FFFFFF"/>
              <w:bottom w:val="single" w:sz="8" w:space="0" w:color="FFFFFF"/>
              <w:right w:val="single" w:sz="12" w:space="0" w:color="FFFFFF"/>
            </w:tcBorders>
            <w:shd w:val="clear" w:color="000000" w:fill="4F81BD"/>
            <w:textDirection w:val="btLr"/>
            <w:vAlign w:val="center"/>
            <w:hideMark/>
          </w:tcPr>
          <w:p w:rsidR="0092234B" w:rsidRPr="00AB662B" w:rsidRDefault="0092234B" w:rsidP="00AB662B">
            <w:pPr>
              <w:spacing w:after="0" w:line="240" w:lineRule="auto"/>
              <w:jc w:val="center"/>
              <w:rPr>
                <w:rFonts w:ascii="Arial" w:eastAsia="Times New Roman" w:hAnsi="Arial" w:cs="Arial"/>
                <w:b/>
                <w:bCs/>
                <w:color w:val="FFFFFF"/>
                <w:sz w:val="16"/>
                <w:szCs w:val="16"/>
                <w:lang w:eastAsia="tr-TR"/>
              </w:rPr>
            </w:pPr>
            <w:r w:rsidRPr="00AB662B">
              <w:rPr>
                <w:rFonts w:ascii="Arial" w:eastAsia="Times New Roman" w:hAnsi="Arial" w:cs="Arial"/>
                <w:b/>
                <w:bCs/>
                <w:color w:val="FFFFFF"/>
                <w:sz w:val="16"/>
                <w:szCs w:val="16"/>
                <w:lang w:eastAsia="tr-TR"/>
              </w:rPr>
              <w:t>EKONOMİK KODU</w:t>
            </w:r>
          </w:p>
        </w:tc>
        <w:tc>
          <w:tcPr>
            <w:tcW w:w="2054" w:type="dxa"/>
            <w:vMerge w:val="restart"/>
            <w:tcBorders>
              <w:top w:val="nil"/>
              <w:left w:val="single" w:sz="12" w:space="0" w:color="FFFFFF"/>
              <w:bottom w:val="nil"/>
              <w:right w:val="single" w:sz="8" w:space="0" w:color="FFFFFF"/>
            </w:tcBorders>
            <w:shd w:val="clear" w:color="000000" w:fill="D3DFEE"/>
            <w:noWrap/>
            <w:vAlign w:val="center"/>
            <w:hideMark/>
          </w:tcPr>
          <w:p w:rsidR="0092234B" w:rsidRPr="00AB662B" w:rsidRDefault="0092234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AÇIKLAMA</w:t>
            </w:r>
          </w:p>
        </w:tc>
        <w:tc>
          <w:tcPr>
            <w:tcW w:w="1287" w:type="dxa"/>
            <w:vMerge w:val="restart"/>
            <w:tcBorders>
              <w:top w:val="nil"/>
              <w:left w:val="single" w:sz="8" w:space="0" w:color="FFFFFF"/>
              <w:bottom w:val="nil"/>
              <w:right w:val="nil"/>
            </w:tcBorders>
            <w:shd w:val="clear" w:color="000000" w:fill="D3DFEE"/>
            <w:vAlign w:val="center"/>
            <w:hideMark/>
          </w:tcPr>
          <w:p w:rsidR="0092234B" w:rsidRPr="00AB662B" w:rsidRDefault="0092234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 xml:space="preserve">2017 YILI BÜTÇE GELİR TAHMİNİ </w:t>
            </w:r>
          </w:p>
        </w:tc>
        <w:tc>
          <w:tcPr>
            <w:tcW w:w="1444" w:type="dxa"/>
            <w:vMerge w:val="restart"/>
            <w:tcBorders>
              <w:top w:val="nil"/>
              <w:left w:val="single" w:sz="8" w:space="0" w:color="FFFFFF"/>
              <w:bottom w:val="nil"/>
              <w:right w:val="nil"/>
            </w:tcBorders>
            <w:shd w:val="clear" w:color="000000" w:fill="D3DFEE"/>
            <w:vAlign w:val="center"/>
            <w:hideMark/>
          </w:tcPr>
          <w:p w:rsidR="0092234B" w:rsidRPr="00AB662B" w:rsidRDefault="0092234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2017 YILI GERÇEKLEŞME OCAK - HAZİRAN</w:t>
            </w:r>
          </w:p>
        </w:tc>
        <w:tc>
          <w:tcPr>
            <w:tcW w:w="1350" w:type="dxa"/>
            <w:vMerge w:val="restart"/>
            <w:tcBorders>
              <w:top w:val="nil"/>
              <w:left w:val="single" w:sz="8" w:space="0" w:color="FFFFFF"/>
              <w:bottom w:val="nil"/>
              <w:right w:val="nil"/>
            </w:tcBorders>
            <w:shd w:val="clear" w:color="000000" w:fill="D3DFEE"/>
            <w:vAlign w:val="center"/>
            <w:hideMark/>
          </w:tcPr>
          <w:p w:rsidR="0092234B" w:rsidRPr="00AB662B" w:rsidRDefault="0092234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 xml:space="preserve">2018 YILI BÜTÇE GELİR TAHMİNİ </w:t>
            </w:r>
          </w:p>
        </w:tc>
        <w:tc>
          <w:tcPr>
            <w:tcW w:w="1444" w:type="dxa"/>
            <w:vMerge w:val="restart"/>
            <w:tcBorders>
              <w:top w:val="nil"/>
              <w:left w:val="single" w:sz="8" w:space="0" w:color="FFFFFF"/>
              <w:bottom w:val="nil"/>
              <w:right w:val="nil"/>
            </w:tcBorders>
            <w:shd w:val="clear" w:color="000000" w:fill="D3DFEE"/>
            <w:vAlign w:val="center"/>
            <w:hideMark/>
          </w:tcPr>
          <w:p w:rsidR="0092234B" w:rsidRPr="00AB662B" w:rsidRDefault="0092234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2018 YILI GERÇEKLEŞME OCAK - HAZİRAN</w:t>
            </w:r>
          </w:p>
        </w:tc>
        <w:tc>
          <w:tcPr>
            <w:tcW w:w="2130" w:type="dxa"/>
            <w:gridSpan w:val="2"/>
            <w:tcBorders>
              <w:top w:val="single" w:sz="8" w:space="0" w:color="FFFFFF"/>
              <w:left w:val="nil"/>
              <w:bottom w:val="single" w:sz="8" w:space="0" w:color="FFFFFF"/>
              <w:right w:val="single" w:sz="8" w:space="0" w:color="FFFFFF"/>
            </w:tcBorders>
            <w:shd w:val="clear" w:color="000000" w:fill="D3DFEE"/>
            <w:vAlign w:val="center"/>
            <w:hideMark/>
          </w:tcPr>
          <w:p w:rsidR="0092234B" w:rsidRDefault="0092234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 xml:space="preserve">GERÇEKLEŞME </w:t>
            </w:r>
            <w:r>
              <w:rPr>
                <w:rFonts w:ascii="Arial" w:eastAsia="Times New Roman" w:hAnsi="Arial" w:cs="Arial"/>
                <w:b/>
                <w:bCs/>
                <w:color w:val="000000"/>
                <w:sz w:val="16"/>
                <w:szCs w:val="16"/>
                <w:lang w:eastAsia="tr-TR"/>
              </w:rPr>
              <w:t xml:space="preserve"> </w:t>
            </w:r>
          </w:p>
          <w:p w:rsidR="0092234B" w:rsidRPr="00AB662B" w:rsidRDefault="0092234B" w:rsidP="00AB662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OCAK-HAZİRAN</w:t>
            </w:r>
          </w:p>
        </w:tc>
      </w:tr>
      <w:tr w:rsidR="0092234B" w:rsidRPr="00AB662B" w:rsidTr="00597F44">
        <w:trPr>
          <w:trHeight w:val="363"/>
        </w:trPr>
        <w:tc>
          <w:tcPr>
            <w:tcW w:w="346" w:type="dxa"/>
            <w:vMerge/>
            <w:tcBorders>
              <w:top w:val="nil"/>
              <w:left w:val="single" w:sz="8" w:space="0" w:color="FFFFFF"/>
              <w:bottom w:val="single" w:sz="8" w:space="0" w:color="FFFFFF"/>
              <w:right w:val="single" w:sz="12" w:space="0" w:color="FFFFFF"/>
            </w:tcBorders>
            <w:vAlign w:val="center"/>
            <w:hideMark/>
          </w:tcPr>
          <w:p w:rsidR="0092234B" w:rsidRPr="00AB662B" w:rsidRDefault="0092234B" w:rsidP="00AB662B">
            <w:pPr>
              <w:spacing w:after="0" w:line="240" w:lineRule="auto"/>
              <w:rPr>
                <w:rFonts w:ascii="Arial" w:eastAsia="Times New Roman" w:hAnsi="Arial" w:cs="Arial"/>
                <w:b/>
                <w:bCs/>
                <w:color w:val="FFFFFF"/>
                <w:sz w:val="16"/>
                <w:szCs w:val="16"/>
                <w:lang w:eastAsia="tr-TR"/>
              </w:rPr>
            </w:pPr>
          </w:p>
        </w:tc>
        <w:tc>
          <w:tcPr>
            <w:tcW w:w="2054" w:type="dxa"/>
            <w:vMerge/>
            <w:tcBorders>
              <w:top w:val="nil"/>
              <w:left w:val="single" w:sz="12" w:space="0" w:color="FFFFFF"/>
              <w:bottom w:val="nil"/>
              <w:right w:val="single" w:sz="8" w:space="0" w:color="FFFFFF"/>
            </w:tcBorders>
            <w:vAlign w:val="center"/>
            <w:hideMark/>
          </w:tcPr>
          <w:p w:rsidR="0092234B" w:rsidRPr="00AB662B" w:rsidRDefault="0092234B" w:rsidP="00AB662B">
            <w:pPr>
              <w:spacing w:after="0" w:line="240" w:lineRule="auto"/>
              <w:rPr>
                <w:rFonts w:ascii="Arial" w:eastAsia="Times New Roman" w:hAnsi="Arial" w:cs="Arial"/>
                <w:b/>
                <w:bCs/>
                <w:color w:val="000000"/>
                <w:sz w:val="16"/>
                <w:szCs w:val="16"/>
                <w:lang w:eastAsia="tr-TR"/>
              </w:rPr>
            </w:pPr>
          </w:p>
        </w:tc>
        <w:tc>
          <w:tcPr>
            <w:tcW w:w="1287" w:type="dxa"/>
            <w:vMerge/>
            <w:tcBorders>
              <w:top w:val="nil"/>
              <w:left w:val="single" w:sz="8" w:space="0" w:color="FFFFFF"/>
              <w:bottom w:val="nil"/>
              <w:right w:val="nil"/>
            </w:tcBorders>
            <w:vAlign w:val="center"/>
            <w:hideMark/>
          </w:tcPr>
          <w:p w:rsidR="0092234B" w:rsidRPr="00AB662B" w:rsidRDefault="0092234B" w:rsidP="00AB662B">
            <w:pPr>
              <w:spacing w:after="0" w:line="240" w:lineRule="auto"/>
              <w:rPr>
                <w:rFonts w:ascii="Arial" w:eastAsia="Times New Roman" w:hAnsi="Arial" w:cs="Arial"/>
                <w:b/>
                <w:bCs/>
                <w:color w:val="000000"/>
                <w:sz w:val="16"/>
                <w:szCs w:val="16"/>
                <w:lang w:eastAsia="tr-TR"/>
              </w:rPr>
            </w:pPr>
          </w:p>
        </w:tc>
        <w:tc>
          <w:tcPr>
            <w:tcW w:w="1444" w:type="dxa"/>
            <w:vMerge/>
            <w:tcBorders>
              <w:top w:val="nil"/>
              <w:left w:val="single" w:sz="8" w:space="0" w:color="FFFFFF"/>
              <w:bottom w:val="nil"/>
              <w:right w:val="nil"/>
            </w:tcBorders>
            <w:vAlign w:val="center"/>
            <w:hideMark/>
          </w:tcPr>
          <w:p w:rsidR="0092234B" w:rsidRPr="00AB662B" w:rsidRDefault="0092234B" w:rsidP="00AB662B">
            <w:pPr>
              <w:spacing w:after="0" w:line="240" w:lineRule="auto"/>
              <w:rPr>
                <w:rFonts w:ascii="Arial" w:eastAsia="Times New Roman" w:hAnsi="Arial" w:cs="Arial"/>
                <w:b/>
                <w:bCs/>
                <w:color w:val="000000"/>
                <w:sz w:val="16"/>
                <w:szCs w:val="16"/>
                <w:lang w:eastAsia="tr-TR"/>
              </w:rPr>
            </w:pPr>
          </w:p>
        </w:tc>
        <w:tc>
          <w:tcPr>
            <w:tcW w:w="1350" w:type="dxa"/>
            <w:vMerge/>
            <w:tcBorders>
              <w:top w:val="nil"/>
              <w:left w:val="single" w:sz="8" w:space="0" w:color="FFFFFF"/>
              <w:bottom w:val="nil"/>
              <w:right w:val="nil"/>
            </w:tcBorders>
            <w:vAlign w:val="center"/>
            <w:hideMark/>
          </w:tcPr>
          <w:p w:rsidR="0092234B" w:rsidRPr="00AB662B" w:rsidRDefault="0092234B" w:rsidP="00AB662B">
            <w:pPr>
              <w:spacing w:after="0" w:line="240" w:lineRule="auto"/>
              <w:rPr>
                <w:rFonts w:ascii="Arial" w:eastAsia="Times New Roman" w:hAnsi="Arial" w:cs="Arial"/>
                <w:b/>
                <w:bCs/>
                <w:color w:val="000000"/>
                <w:sz w:val="16"/>
                <w:szCs w:val="16"/>
                <w:lang w:eastAsia="tr-TR"/>
              </w:rPr>
            </w:pPr>
          </w:p>
        </w:tc>
        <w:tc>
          <w:tcPr>
            <w:tcW w:w="1444" w:type="dxa"/>
            <w:vMerge/>
            <w:tcBorders>
              <w:top w:val="nil"/>
              <w:left w:val="single" w:sz="8" w:space="0" w:color="FFFFFF"/>
              <w:bottom w:val="nil"/>
              <w:right w:val="nil"/>
            </w:tcBorders>
            <w:vAlign w:val="center"/>
            <w:hideMark/>
          </w:tcPr>
          <w:p w:rsidR="0092234B" w:rsidRPr="00AB662B" w:rsidRDefault="0092234B" w:rsidP="00AB662B">
            <w:pPr>
              <w:spacing w:after="0" w:line="240" w:lineRule="auto"/>
              <w:rPr>
                <w:rFonts w:ascii="Arial" w:eastAsia="Times New Roman" w:hAnsi="Arial" w:cs="Arial"/>
                <w:b/>
                <w:bCs/>
                <w:color w:val="000000"/>
                <w:sz w:val="16"/>
                <w:szCs w:val="16"/>
                <w:lang w:eastAsia="tr-TR"/>
              </w:rPr>
            </w:pPr>
          </w:p>
        </w:tc>
        <w:tc>
          <w:tcPr>
            <w:tcW w:w="1137" w:type="dxa"/>
            <w:tcBorders>
              <w:top w:val="nil"/>
              <w:left w:val="single" w:sz="8" w:space="0" w:color="FFFFFF"/>
              <w:bottom w:val="nil"/>
              <w:right w:val="single" w:sz="8" w:space="0" w:color="FFFFFF"/>
            </w:tcBorders>
            <w:shd w:val="clear" w:color="000000" w:fill="D3DFEE"/>
            <w:vAlign w:val="center"/>
            <w:hideMark/>
          </w:tcPr>
          <w:p w:rsidR="0092234B" w:rsidRPr="00AB662B" w:rsidRDefault="0092234B" w:rsidP="0092234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2017</w:t>
            </w:r>
          </w:p>
        </w:tc>
        <w:tc>
          <w:tcPr>
            <w:tcW w:w="993" w:type="dxa"/>
            <w:tcBorders>
              <w:top w:val="nil"/>
              <w:left w:val="nil"/>
              <w:bottom w:val="nil"/>
              <w:right w:val="single" w:sz="8" w:space="0" w:color="FFFFFF"/>
            </w:tcBorders>
            <w:shd w:val="clear" w:color="000000" w:fill="D3DFEE"/>
            <w:vAlign w:val="center"/>
            <w:hideMark/>
          </w:tcPr>
          <w:p w:rsidR="0092234B" w:rsidRPr="00AB662B" w:rsidRDefault="0092234B" w:rsidP="0092234B">
            <w:pPr>
              <w:spacing w:after="0" w:line="240" w:lineRule="auto"/>
              <w:jc w:val="center"/>
              <w:rPr>
                <w:rFonts w:ascii="Arial" w:eastAsia="Times New Roman" w:hAnsi="Arial" w:cs="Arial"/>
                <w:b/>
                <w:bCs/>
                <w:color w:val="000000"/>
                <w:sz w:val="16"/>
                <w:szCs w:val="16"/>
                <w:lang w:eastAsia="tr-TR"/>
              </w:rPr>
            </w:pPr>
            <w:r w:rsidRPr="00AB662B">
              <w:rPr>
                <w:rFonts w:ascii="Arial" w:eastAsia="Times New Roman" w:hAnsi="Arial" w:cs="Arial"/>
                <w:b/>
                <w:bCs/>
                <w:color w:val="000000"/>
                <w:sz w:val="16"/>
                <w:szCs w:val="16"/>
                <w:lang w:eastAsia="tr-TR"/>
              </w:rPr>
              <w:t>2018</w:t>
            </w:r>
          </w:p>
        </w:tc>
      </w:tr>
      <w:tr w:rsidR="0092234B" w:rsidRPr="00AB662B" w:rsidTr="00597F44">
        <w:trPr>
          <w:trHeight w:val="359"/>
        </w:trPr>
        <w:tc>
          <w:tcPr>
            <w:tcW w:w="346" w:type="dxa"/>
            <w:tcBorders>
              <w:top w:val="nil"/>
              <w:left w:val="single" w:sz="8" w:space="0" w:color="FFFFFF"/>
              <w:bottom w:val="nil"/>
              <w:right w:val="single" w:sz="12" w:space="0" w:color="FFFFFF"/>
            </w:tcBorders>
            <w:shd w:val="clear" w:color="000000" w:fill="4F81BD"/>
            <w:noWrap/>
            <w:vAlign w:val="center"/>
            <w:hideMark/>
          </w:tcPr>
          <w:p w:rsidR="0092234B" w:rsidRPr="00AB662B" w:rsidRDefault="0092234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1</w:t>
            </w:r>
          </w:p>
        </w:tc>
        <w:tc>
          <w:tcPr>
            <w:tcW w:w="2054" w:type="dxa"/>
            <w:tcBorders>
              <w:top w:val="nil"/>
              <w:left w:val="nil"/>
              <w:bottom w:val="single" w:sz="8" w:space="0" w:color="FFFFFF"/>
              <w:right w:val="single" w:sz="8" w:space="0" w:color="FFFFFF"/>
            </w:tcBorders>
            <w:shd w:val="clear" w:color="000000" w:fill="A7BFDE"/>
            <w:vAlign w:val="center"/>
            <w:hideMark/>
          </w:tcPr>
          <w:p w:rsidR="0092234B" w:rsidRPr="00AB662B" w:rsidRDefault="0092234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VERGİ GELİRLERİ</w:t>
            </w:r>
          </w:p>
        </w:tc>
        <w:tc>
          <w:tcPr>
            <w:tcW w:w="128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62.692.000,00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23.245.342,03</w:t>
            </w:r>
          </w:p>
        </w:tc>
        <w:tc>
          <w:tcPr>
            <w:tcW w:w="1350"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88.085.000,00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26.298.266,75</w:t>
            </w:r>
          </w:p>
        </w:tc>
        <w:tc>
          <w:tcPr>
            <w:tcW w:w="113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w:t>
            </w:r>
            <w:r>
              <w:rPr>
                <w:rFonts w:ascii="Calibri" w:eastAsia="Times New Roman" w:hAnsi="Calibri" w:cs="Arial TUR"/>
                <w:b/>
                <w:color w:val="943634"/>
                <w:sz w:val="16"/>
                <w:szCs w:val="16"/>
                <w:lang w:eastAsia="tr-TR"/>
              </w:rPr>
              <w:t>7</w:t>
            </w:r>
            <w:r w:rsidRPr="00AB662B">
              <w:rPr>
                <w:rFonts w:ascii="Calibri" w:eastAsia="Times New Roman" w:hAnsi="Calibri" w:cs="Arial TUR"/>
                <w:b/>
                <w:color w:val="943634"/>
                <w:sz w:val="16"/>
                <w:szCs w:val="16"/>
                <w:lang w:eastAsia="tr-TR"/>
              </w:rPr>
              <w:t>,</w:t>
            </w:r>
            <w:r>
              <w:rPr>
                <w:rFonts w:ascii="Calibri" w:eastAsia="Times New Roman" w:hAnsi="Calibri" w:cs="Arial TUR"/>
                <w:b/>
                <w:color w:val="943634"/>
                <w:sz w:val="16"/>
                <w:szCs w:val="16"/>
                <w:lang w:eastAsia="tr-TR"/>
              </w:rPr>
              <w:t>08</w:t>
            </w:r>
          </w:p>
        </w:tc>
        <w:tc>
          <w:tcPr>
            <w:tcW w:w="993"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29,85</w:t>
            </w:r>
          </w:p>
        </w:tc>
      </w:tr>
      <w:tr w:rsidR="0092234B" w:rsidRPr="00AB662B" w:rsidTr="00597F44">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92234B" w:rsidRPr="00AB662B" w:rsidRDefault="0092234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3</w:t>
            </w:r>
          </w:p>
        </w:tc>
        <w:tc>
          <w:tcPr>
            <w:tcW w:w="2054" w:type="dxa"/>
            <w:tcBorders>
              <w:top w:val="nil"/>
              <w:left w:val="nil"/>
              <w:bottom w:val="single" w:sz="8" w:space="0" w:color="FFFFFF"/>
              <w:right w:val="single" w:sz="8" w:space="0" w:color="FFFFFF"/>
            </w:tcBorders>
            <w:shd w:val="clear" w:color="000000" w:fill="D3DFEE"/>
            <w:vAlign w:val="center"/>
            <w:hideMark/>
          </w:tcPr>
          <w:p w:rsidR="0092234B" w:rsidRPr="00AB662B" w:rsidRDefault="0092234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TEŞEBBÜS VE MÜLKİYET GELİRLERİ</w:t>
            </w:r>
          </w:p>
        </w:tc>
        <w:tc>
          <w:tcPr>
            <w:tcW w:w="1287"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25.626.000,00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12.404.578,62</w:t>
            </w:r>
          </w:p>
        </w:tc>
        <w:tc>
          <w:tcPr>
            <w:tcW w:w="1350"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42.797.000,00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13.406.068,70</w:t>
            </w:r>
          </w:p>
        </w:tc>
        <w:tc>
          <w:tcPr>
            <w:tcW w:w="113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48</w:t>
            </w:r>
            <w:r w:rsidRPr="00AB662B">
              <w:rPr>
                <w:rFonts w:ascii="Calibri" w:eastAsia="Times New Roman" w:hAnsi="Calibri" w:cs="Arial TUR"/>
                <w:b/>
                <w:color w:val="943634"/>
                <w:sz w:val="16"/>
                <w:szCs w:val="16"/>
                <w:lang w:eastAsia="tr-TR"/>
              </w:rPr>
              <w:t>,</w:t>
            </w:r>
            <w:r>
              <w:rPr>
                <w:rFonts w:ascii="Calibri" w:eastAsia="Times New Roman" w:hAnsi="Calibri" w:cs="Arial TUR"/>
                <w:b/>
                <w:color w:val="943634"/>
                <w:sz w:val="16"/>
                <w:szCs w:val="16"/>
                <w:lang w:eastAsia="tr-TR"/>
              </w:rPr>
              <w:t>41</w:t>
            </w:r>
          </w:p>
        </w:tc>
        <w:tc>
          <w:tcPr>
            <w:tcW w:w="993"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31,32</w:t>
            </w:r>
          </w:p>
        </w:tc>
      </w:tr>
      <w:tr w:rsidR="0092234B" w:rsidRPr="00AB662B" w:rsidTr="00597F44">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92234B" w:rsidRPr="00AB662B" w:rsidRDefault="0092234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4</w:t>
            </w:r>
          </w:p>
        </w:tc>
        <w:tc>
          <w:tcPr>
            <w:tcW w:w="2054" w:type="dxa"/>
            <w:tcBorders>
              <w:top w:val="nil"/>
              <w:left w:val="nil"/>
              <w:bottom w:val="single" w:sz="8" w:space="0" w:color="FFFFFF"/>
              <w:right w:val="single" w:sz="8" w:space="0" w:color="FFFFFF"/>
            </w:tcBorders>
            <w:shd w:val="clear" w:color="000000" w:fill="A7BFDE"/>
            <w:vAlign w:val="center"/>
            <w:hideMark/>
          </w:tcPr>
          <w:p w:rsidR="0092234B" w:rsidRPr="00AB662B" w:rsidRDefault="0092234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ALINAN BAĞIŞ VE YARD. İLE ÖZEL GELİRLER</w:t>
            </w:r>
          </w:p>
        </w:tc>
        <w:tc>
          <w:tcPr>
            <w:tcW w:w="128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11.840.000,00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1.202.378,32</w:t>
            </w:r>
          </w:p>
        </w:tc>
        <w:tc>
          <w:tcPr>
            <w:tcW w:w="1350"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1444"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596.026,48</w:t>
            </w:r>
          </w:p>
        </w:tc>
        <w:tc>
          <w:tcPr>
            <w:tcW w:w="113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w:t>
            </w:r>
            <w:r>
              <w:rPr>
                <w:rFonts w:ascii="Calibri" w:eastAsia="Times New Roman" w:hAnsi="Calibri" w:cs="Arial TUR"/>
                <w:b/>
                <w:color w:val="943634"/>
                <w:sz w:val="16"/>
                <w:szCs w:val="16"/>
                <w:lang w:eastAsia="tr-TR"/>
              </w:rPr>
              <w:t>0</w:t>
            </w:r>
            <w:r w:rsidRPr="00AB662B">
              <w:rPr>
                <w:rFonts w:ascii="Calibri" w:eastAsia="Times New Roman" w:hAnsi="Calibri" w:cs="Arial TUR"/>
                <w:b/>
                <w:color w:val="943634"/>
                <w:sz w:val="16"/>
                <w:szCs w:val="16"/>
                <w:lang w:eastAsia="tr-TR"/>
              </w:rPr>
              <w:t>,</w:t>
            </w:r>
            <w:r>
              <w:rPr>
                <w:rFonts w:ascii="Calibri" w:eastAsia="Times New Roman" w:hAnsi="Calibri" w:cs="Arial TUR"/>
                <w:b/>
                <w:color w:val="943634"/>
                <w:sz w:val="16"/>
                <w:szCs w:val="16"/>
                <w:lang w:eastAsia="tr-TR"/>
              </w:rPr>
              <w:t>16</w:t>
            </w:r>
          </w:p>
        </w:tc>
        <w:tc>
          <w:tcPr>
            <w:tcW w:w="993"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597F44"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0,00</w:t>
            </w:r>
          </w:p>
        </w:tc>
      </w:tr>
      <w:tr w:rsidR="0092234B" w:rsidRPr="00AB662B" w:rsidTr="00597F44">
        <w:trPr>
          <w:trHeight w:val="335"/>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92234B" w:rsidRPr="00AB662B" w:rsidRDefault="0092234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5</w:t>
            </w:r>
          </w:p>
        </w:tc>
        <w:tc>
          <w:tcPr>
            <w:tcW w:w="2054" w:type="dxa"/>
            <w:tcBorders>
              <w:top w:val="nil"/>
              <w:left w:val="nil"/>
              <w:bottom w:val="single" w:sz="8" w:space="0" w:color="FFFFFF"/>
              <w:right w:val="single" w:sz="8" w:space="0" w:color="FFFFFF"/>
            </w:tcBorders>
            <w:shd w:val="clear" w:color="000000" w:fill="D3DFEE"/>
            <w:vAlign w:val="center"/>
            <w:hideMark/>
          </w:tcPr>
          <w:p w:rsidR="0092234B" w:rsidRPr="00AB662B" w:rsidRDefault="0092234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DİĞER GELİRLER</w:t>
            </w:r>
          </w:p>
        </w:tc>
        <w:tc>
          <w:tcPr>
            <w:tcW w:w="1287"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79.355.000,00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37.545.336,46</w:t>
            </w:r>
          </w:p>
        </w:tc>
        <w:tc>
          <w:tcPr>
            <w:tcW w:w="1350"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98.848.000,00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43.705.800,02</w:t>
            </w:r>
          </w:p>
        </w:tc>
        <w:tc>
          <w:tcPr>
            <w:tcW w:w="113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4</w:t>
            </w:r>
            <w:r>
              <w:rPr>
                <w:rFonts w:ascii="Calibri" w:eastAsia="Times New Roman" w:hAnsi="Calibri" w:cs="Arial TUR"/>
                <w:b/>
                <w:color w:val="943634"/>
                <w:sz w:val="16"/>
                <w:szCs w:val="16"/>
                <w:lang w:eastAsia="tr-TR"/>
              </w:rPr>
              <w:t>7</w:t>
            </w:r>
            <w:r w:rsidRPr="00AB662B">
              <w:rPr>
                <w:rFonts w:ascii="Calibri" w:eastAsia="Times New Roman" w:hAnsi="Calibri" w:cs="Arial TUR"/>
                <w:b/>
                <w:color w:val="943634"/>
                <w:sz w:val="16"/>
                <w:szCs w:val="16"/>
                <w:lang w:eastAsia="tr-TR"/>
              </w:rPr>
              <w:t>,</w:t>
            </w:r>
            <w:r>
              <w:rPr>
                <w:rFonts w:ascii="Calibri" w:eastAsia="Times New Roman" w:hAnsi="Calibri" w:cs="Arial TUR"/>
                <w:b/>
                <w:color w:val="943634"/>
                <w:sz w:val="16"/>
                <w:szCs w:val="16"/>
                <w:lang w:eastAsia="tr-TR"/>
              </w:rPr>
              <w:t>31</w:t>
            </w:r>
          </w:p>
        </w:tc>
        <w:tc>
          <w:tcPr>
            <w:tcW w:w="993"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44,22</w:t>
            </w:r>
          </w:p>
        </w:tc>
      </w:tr>
      <w:tr w:rsidR="0092234B" w:rsidRPr="00AB662B" w:rsidTr="00597F44">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92234B" w:rsidRPr="00AB662B" w:rsidRDefault="0092234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6</w:t>
            </w:r>
          </w:p>
        </w:tc>
        <w:tc>
          <w:tcPr>
            <w:tcW w:w="2054" w:type="dxa"/>
            <w:tcBorders>
              <w:top w:val="nil"/>
              <w:left w:val="nil"/>
              <w:bottom w:val="single" w:sz="8" w:space="0" w:color="FFFFFF"/>
              <w:right w:val="single" w:sz="8" w:space="0" w:color="FFFFFF"/>
            </w:tcBorders>
            <w:shd w:val="clear" w:color="000000" w:fill="A7BFDE"/>
            <w:vAlign w:val="center"/>
            <w:hideMark/>
          </w:tcPr>
          <w:p w:rsidR="0092234B" w:rsidRPr="00AB662B" w:rsidRDefault="0092234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SERMAYE GELİRLERİ</w:t>
            </w:r>
          </w:p>
        </w:tc>
        <w:tc>
          <w:tcPr>
            <w:tcW w:w="128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19.587.000,00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1.876.458,01</w:t>
            </w:r>
          </w:p>
        </w:tc>
        <w:tc>
          <w:tcPr>
            <w:tcW w:w="1350"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22.470.000,00</w:t>
            </w:r>
          </w:p>
        </w:tc>
        <w:tc>
          <w:tcPr>
            <w:tcW w:w="1444"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3.183.912,00</w:t>
            </w:r>
          </w:p>
        </w:tc>
        <w:tc>
          <w:tcPr>
            <w:tcW w:w="113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9</w:t>
            </w:r>
            <w:r w:rsidRPr="00AB662B">
              <w:rPr>
                <w:rFonts w:ascii="Calibri" w:eastAsia="Times New Roman" w:hAnsi="Calibri" w:cs="Arial TUR"/>
                <w:b/>
                <w:color w:val="943634"/>
                <w:sz w:val="16"/>
                <w:szCs w:val="16"/>
                <w:lang w:eastAsia="tr-TR"/>
              </w:rPr>
              <w:t>,</w:t>
            </w:r>
            <w:r>
              <w:rPr>
                <w:rFonts w:ascii="Calibri" w:eastAsia="Times New Roman" w:hAnsi="Calibri" w:cs="Arial TUR"/>
                <w:b/>
                <w:color w:val="943634"/>
                <w:sz w:val="16"/>
                <w:szCs w:val="16"/>
                <w:lang w:eastAsia="tr-TR"/>
              </w:rPr>
              <w:t>58</w:t>
            </w:r>
          </w:p>
        </w:tc>
        <w:tc>
          <w:tcPr>
            <w:tcW w:w="993"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14,17</w:t>
            </w:r>
          </w:p>
        </w:tc>
      </w:tr>
      <w:tr w:rsidR="0092234B" w:rsidRPr="00AB662B" w:rsidTr="00597F44">
        <w:trPr>
          <w:trHeight w:val="439"/>
        </w:trPr>
        <w:tc>
          <w:tcPr>
            <w:tcW w:w="346" w:type="dxa"/>
            <w:tcBorders>
              <w:top w:val="single" w:sz="8" w:space="0" w:color="FFFFFF"/>
              <w:left w:val="single" w:sz="8" w:space="0" w:color="FFFFFF"/>
              <w:bottom w:val="nil"/>
              <w:right w:val="single" w:sz="12" w:space="0" w:color="FFFFFF"/>
            </w:tcBorders>
            <w:shd w:val="clear" w:color="000000" w:fill="4F81BD"/>
            <w:noWrap/>
            <w:vAlign w:val="center"/>
            <w:hideMark/>
          </w:tcPr>
          <w:p w:rsidR="0092234B" w:rsidRPr="00AB662B" w:rsidRDefault="0092234B" w:rsidP="00AB662B">
            <w:pPr>
              <w:spacing w:after="0" w:line="240" w:lineRule="auto"/>
              <w:jc w:val="center"/>
              <w:rPr>
                <w:rFonts w:ascii="Arial" w:eastAsia="Times New Roman" w:hAnsi="Arial" w:cs="Arial"/>
                <w:b/>
                <w:bCs/>
                <w:color w:val="800000"/>
                <w:sz w:val="16"/>
                <w:szCs w:val="16"/>
                <w:lang w:eastAsia="tr-TR"/>
              </w:rPr>
            </w:pPr>
            <w:r w:rsidRPr="00AB662B">
              <w:rPr>
                <w:rFonts w:ascii="Arial" w:eastAsia="Times New Roman" w:hAnsi="Arial" w:cs="Arial"/>
                <w:b/>
                <w:bCs/>
                <w:color w:val="800000"/>
                <w:sz w:val="16"/>
                <w:szCs w:val="16"/>
                <w:lang w:eastAsia="tr-TR"/>
              </w:rPr>
              <w:t>9</w:t>
            </w:r>
          </w:p>
        </w:tc>
        <w:tc>
          <w:tcPr>
            <w:tcW w:w="2054" w:type="dxa"/>
            <w:tcBorders>
              <w:top w:val="nil"/>
              <w:left w:val="nil"/>
              <w:bottom w:val="single" w:sz="8" w:space="0" w:color="FFFFFF"/>
              <w:right w:val="single" w:sz="8" w:space="0" w:color="FFFFFF"/>
            </w:tcBorders>
            <w:shd w:val="clear" w:color="000000" w:fill="D3DFEE"/>
            <w:vAlign w:val="center"/>
            <w:hideMark/>
          </w:tcPr>
          <w:p w:rsidR="0092234B" w:rsidRPr="00AB662B" w:rsidRDefault="0092234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BORÇ VERME (-)</w:t>
            </w:r>
          </w:p>
        </w:tc>
        <w:tc>
          <w:tcPr>
            <w:tcW w:w="1287"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-100.000,00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1350"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-200.000,00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0,00</w:t>
            </w:r>
          </w:p>
        </w:tc>
        <w:tc>
          <w:tcPr>
            <w:tcW w:w="113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c>
          <w:tcPr>
            <w:tcW w:w="993"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0,00</w:t>
            </w:r>
          </w:p>
        </w:tc>
      </w:tr>
      <w:tr w:rsidR="0092234B" w:rsidRPr="00AB662B" w:rsidTr="00597F44">
        <w:trPr>
          <w:trHeight w:val="440"/>
        </w:trPr>
        <w:tc>
          <w:tcPr>
            <w:tcW w:w="346" w:type="dxa"/>
            <w:tcBorders>
              <w:top w:val="single" w:sz="8" w:space="0" w:color="FFFFFF"/>
              <w:left w:val="single" w:sz="8" w:space="0" w:color="FFFFFF"/>
              <w:bottom w:val="single" w:sz="8" w:space="0" w:color="FFFFFF"/>
              <w:right w:val="single" w:sz="12" w:space="0" w:color="FFFFFF"/>
            </w:tcBorders>
            <w:shd w:val="clear" w:color="000000" w:fill="4F81BD"/>
            <w:noWrap/>
            <w:vAlign w:val="center"/>
            <w:hideMark/>
          </w:tcPr>
          <w:p w:rsidR="0092234B" w:rsidRPr="00AB662B" w:rsidRDefault="0092234B" w:rsidP="00AB662B">
            <w:pPr>
              <w:spacing w:after="0" w:line="240" w:lineRule="auto"/>
              <w:rPr>
                <w:rFonts w:ascii="Times New Roman" w:eastAsia="Times New Roman" w:hAnsi="Times New Roman" w:cs="Times New Roman"/>
                <w:color w:val="000000"/>
                <w:sz w:val="20"/>
                <w:szCs w:val="20"/>
                <w:lang w:eastAsia="tr-TR"/>
              </w:rPr>
            </w:pPr>
          </w:p>
        </w:tc>
        <w:tc>
          <w:tcPr>
            <w:tcW w:w="205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T O P L A M</w:t>
            </w:r>
          </w:p>
        </w:tc>
        <w:tc>
          <w:tcPr>
            <w:tcW w:w="1287"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199.000.000,00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Arial TUR"/>
                <w:b/>
                <w:color w:val="943634"/>
                <w:sz w:val="16"/>
                <w:szCs w:val="16"/>
                <w:lang w:eastAsia="tr-TR"/>
              </w:rPr>
            </w:pPr>
            <w:r w:rsidRPr="00AB662B">
              <w:rPr>
                <w:rFonts w:ascii="Calibri" w:eastAsia="Times New Roman" w:hAnsi="Calibri" w:cs="Arial TUR"/>
                <w:b/>
                <w:color w:val="943634"/>
                <w:sz w:val="16"/>
                <w:szCs w:val="16"/>
                <w:lang w:eastAsia="tr-TR"/>
              </w:rPr>
              <w:t>76.274.093,44</w:t>
            </w:r>
          </w:p>
        </w:tc>
        <w:tc>
          <w:tcPr>
            <w:tcW w:w="1350"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sidRPr="00AB662B">
              <w:rPr>
                <w:rFonts w:ascii="Calibri" w:eastAsia="Times New Roman" w:hAnsi="Calibri" w:cs="Times New Roman"/>
                <w:b/>
                <w:bCs/>
                <w:color w:val="8E0000"/>
                <w:sz w:val="16"/>
                <w:szCs w:val="16"/>
                <w:lang w:eastAsia="tr-TR"/>
              </w:rPr>
              <w:t>252.000.000,00</w:t>
            </w:r>
          </w:p>
        </w:tc>
        <w:tc>
          <w:tcPr>
            <w:tcW w:w="1444" w:type="dxa"/>
            <w:tcBorders>
              <w:top w:val="nil"/>
              <w:left w:val="nil"/>
              <w:bottom w:val="single" w:sz="8" w:space="0" w:color="FFFFFF"/>
              <w:right w:val="single" w:sz="8" w:space="0" w:color="FFFFFF"/>
            </w:tcBorders>
            <w:shd w:val="clear" w:color="000000" w:fill="D3DFEE"/>
            <w:noWrap/>
            <w:vAlign w:val="center"/>
            <w:hideMark/>
          </w:tcPr>
          <w:p w:rsidR="0092234B" w:rsidRPr="00AB662B" w:rsidRDefault="0092234B" w:rsidP="00AB662B">
            <w:pPr>
              <w:spacing w:after="0" w:line="240" w:lineRule="auto"/>
              <w:jc w:val="right"/>
              <w:rPr>
                <w:rFonts w:ascii="Calibri" w:eastAsia="Times New Roman" w:hAnsi="Calibri" w:cs="Times New Roman"/>
                <w:b/>
                <w:bCs/>
                <w:color w:val="8E0000"/>
                <w:sz w:val="16"/>
                <w:szCs w:val="16"/>
                <w:lang w:eastAsia="tr-TR"/>
              </w:rPr>
            </w:pPr>
            <w:r>
              <w:rPr>
                <w:rFonts w:ascii="Calibri" w:eastAsia="Times New Roman" w:hAnsi="Calibri" w:cs="Times New Roman"/>
                <w:b/>
                <w:bCs/>
                <w:color w:val="8E0000"/>
                <w:sz w:val="16"/>
                <w:szCs w:val="16"/>
                <w:lang w:eastAsia="tr-TR"/>
              </w:rPr>
              <w:t>87.190.073,95</w:t>
            </w:r>
          </w:p>
        </w:tc>
        <w:tc>
          <w:tcPr>
            <w:tcW w:w="1137"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38</w:t>
            </w:r>
            <w:r w:rsidRPr="00AB662B">
              <w:rPr>
                <w:rFonts w:ascii="Calibri" w:eastAsia="Times New Roman" w:hAnsi="Calibri" w:cs="Arial TUR"/>
                <w:b/>
                <w:color w:val="943634"/>
                <w:sz w:val="16"/>
                <w:szCs w:val="16"/>
                <w:lang w:eastAsia="tr-TR"/>
              </w:rPr>
              <w:t>,</w:t>
            </w:r>
            <w:r>
              <w:rPr>
                <w:rFonts w:ascii="Calibri" w:eastAsia="Times New Roman" w:hAnsi="Calibri" w:cs="Arial TUR"/>
                <w:b/>
                <w:color w:val="943634"/>
                <w:sz w:val="16"/>
                <w:szCs w:val="16"/>
                <w:lang w:eastAsia="tr-TR"/>
              </w:rPr>
              <w:t>33</w:t>
            </w:r>
          </w:p>
        </w:tc>
        <w:tc>
          <w:tcPr>
            <w:tcW w:w="993" w:type="dxa"/>
            <w:tcBorders>
              <w:top w:val="nil"/>
              <w:left w:val="nil"/>
              <w:bottom w:val="single" w:sz="8" w:space="0" w:color="FFFFFF"/>
              <w:right w:val="single" w:sz="8" w:space="0" w:color="FFFFFF"/>
            </w:tcBorders>
            <w:shd w:val="clear" w:color="000000" w:fill="A7BFDE"/>
            <w:noWrap/>
            <w:vAlign w:val="center"/>
            <w:hideMark/>
          </w:tcPr>
          <w:p w:rsidR="0092234B" w:rsidRPr="00AB662B" w:rsidRDefault="0092234B" w:rsidP="0092234B">
            <w:pPr>
              <w:spacing w:after="0" w:line="240" w:lineRule="auto"/>
              <w:jc w:val="center"/>
              <w:rPr>
                <w:rFonts w:ascii="Calibri" w:eastAsia="Times New Roman" w:hAnsi="Calibri" w:cs="Arial TUR"/>
                <w:b/>
                <w:color w:val="943634"/>
                <w:sz w:val="16"/>
                <w:szCs w:val="16"/>
                <w:lang w:eastAsia="tr-TR"/>
              </w:rPr>
            </w:pPr>
            <w:r>
              <w:rPr>
                <w:rFonts w:ascii="Calibri" w:eastAsia="Times New Roman" w:hAnsi="Calibri" w:cs="Arial TUR"/>
                <w:b/>
                <w:color w:val="943634"/>
                <w:sz w:val="16"/>
                <w:szCs w:val="16"/>
                <w:lang w:eastAsia="tr-TR"/>
              </w:rPr>
              <w:t>34</w:t>
            </w:r>
            <w:r w:rsidRPr="00AB662B">
              <w:rPr>
                <w:rFonts w:ascii="Calibri" w:eastAsia="Times New Roman" w:hAnsi="Calibri" w:cs="Arial TUR"/>
                <w:b/>
                <w:color w:val="943634"/>
                <w:sz w:val="16"/>
                <w:szCs w:val="16"/>
                <w:lang w:eastAsia="tr-TR"/>
              </w:rPr>
              <w:t>,</w:t>
            </w:r>
            <w:r>
              <w:rPr>
                <w:rFonts w:ascii="Calibri" w:eastAsia="Times New Roman" w:hAnsi="Calibri" w:cs="Arial TUR"/>
                <w:b/>
                <w:color w:val="943634"/>
                <w:sz w:val="16"/>
                <w:szCs w:val="16"/>
                <w:lang w:eastAsia="tr-TR"/>
              </w:rPr>
              <w:t>60</w:t>
            </w:r>
          </w:p>
        </w:tc>
      </w:tr>
    </w:tbl>
    <w:p w:rsidR="00E572CA" w:rsidRDefault="00AB662B" w:rsidP="00F0482E">
      <w:pPr>
        <w:keepNext/>
        <w:keepLines/>
        <w:spacing w:after="0" w:line="360" w:lineRule="auto"/>
        <w:ind w:firstLine="540"/>
        <w:jc w:val="both"/>
        <w:outlineLvl w:val="1"/>
        <w:rPr>
          <w:rFonts w:ascii="Times New Roman" w:eastAsia="Times New Roman" w:hAnsi="Times New Roman" w:cs="Times New Roman"/>
          <w:sz w:val="24"/>
          <w:szCs w:val="24"/>
        </w:rPr>
      </w:pPr>
      <w:r w:rsidRPr="00AB662B">
        <w:rPr>
          <w:rFonts w:ascii="Times New Roman" w:eastAsia="Times New Roman" w:hAnsi="Times New Roman" w:cs="Times New Roman"/>
          <w:sz w:val="24"/>
          <w:szCs w:val="24"/>
        </w:rPr>
        <w:lastRenderedPageBreak/>
        <w:t xml:space="preserve">Ocak-Haziran 2018 döneminde, Sultanbeyli Belediyesi bütçe gelirleri, </w:t>
      </w:r>
      <w:r w:rsidR="00597F44">
        <w:rPr>
          <w:rFonts w:ascii="Times New Roman" w:eastAsia="Times New Roman" w:hAnsi="Times New Roman" w:cs="Times New Roman"/>
          <w:sz w:val="24"/>
          <w:szCs w:val="24"/>
        </w:rPr>
        <w:t xml:space="preserve">87.190.073,95 </w:t>
      </w:r>
      <w:r w:rsidR="00597F44" w:rsidRPr="00AB662B">
        <w:rPr>
          <w:rFonts w:ascii="Arial TUR" w:eastAsia="Times New Roman" w:hAnsi="Arial TUR" w:cs="Arial TUR"/>
          <w:b/>
          <w:bCs/>
          <w:color w:val="53548A"/>
          <w:sz w:val="20"/>
          <w:szCs w:val="20"/>
        </w:rPr>
        <w:t>₺</w:t>
      </w:r>
      <w:r w:rsidR="00597F44">
        <w:rPr>
          <w:rFonts w:ascii="Times New Roman" w:eastAsia="Times New Roman" w:hAnsi="Times New Roman" w:cs="Times New Roman"/>
          <w:sz w:val="24"/>
          <w:szCs w:val="24"/>
        </w:rPr>
        <w:t xml:space="preserve"> </w:t>
      </w:r>
      <w:r w:rsidRPr="00AB662B">
        <w:rPr>
          <w:rFonts w:ascii="Times New Roman" w:eastAsia="Times New Roman" w:hAnsi="Times New Roman" w:cs="Times New Roman"/>
          <w:sz w:val="24"/>
          <w:szCs w:val="24"/>
        </w:rPr>
        <w:t>ol</w:t>
      </w:r>
      <w:r w:rsidR="00485C98">
        <w:rPr>
          <w:rFonts w:ascii="Times New Roman" w:eastAsia="Times New Roman" w:hAnsi="Times New Roman" w:cs="Times New Roman"/>
          <w:sz w:val="24"/>
          <w:szCs w:val="24"/>
        </w:rPr>
        <w:t>up,</w:t>
      </w:r>
      <w:r w:rsidRPr="00AB662B">
        <w:rPr>
          <w:rFonts w:ascii="Times New Roman" w:eastAsia="Times New Roman" w:hAnsi="Times New Roman" w:cs="Times New Roman"/>
          <w:sz w:val="24"/>
          <w:szCs w:val="24"/>
        </w:rPr>
        <w:t xml:space="preserve"> 252.000.000,00 </w:t>
      </w:r>
      <w:r w:rsidRPr="00AB662B">
        <w:rPr>
          <w:rFonts w:ascii="Arial TUR" w:eastAsia="Times New Roman" w:hAnsi="Arial TUR" w:cs="Arial TUR"/>
          <w:b/>
          <w:bCs/>
          <w:color w:val="53548A"/>
          <w:sz w:val="20"/>
          <w:szCs w:val="20"/>
        </w:rPr>
        <w:t xml:space="preserve">₺ </w:t>
      </w:r>
      <w:r w:rsidRPr="00AB662B">
        <w:rPr>
          <w:rFonts w:ascii="Times New Roman" w:eastAsia="Times New Roman" w:hAnsi="Times New Roman" w:cs="Times New Roman"/>
          <w:sz w:val="24"/>
          <w:szCs w:val="24"/>
        </w:rPr>
        <w:t xml:space="preserve">olan gelir bütçe tahmininin % </w:t>
      </w:r>
      <w:r w:rsidR="00DA00D1">
        <w:rPr>
          <w:rFonts w:ascii="Times New Roman" w:eastAsia="Times New Roman" w:hAnsi="Times New Roman" w:cs="Times New Roman"/>
          <w:sz w:val="24"/>
          <w:szCs w:val="24"/>
        </w:rPr>
        <w:t>34,60</w:t>
      </w:r>
      <w:r w:rsidRPr="00AB662B">
        <w:rPr>
          <w:rFonts w:ascii="Times New Roman" w:eastAsia="Times New Roman" w:hAnsi="Times New Roman" w:cs="Times New Roman"/>
          <w:sz w:val="24"/>
          <w:szCs w:val="24"/>
        </w:rPr>
        <w:t>’</w:t>
      </w:r>
      <w:r w:rsidR="00DA00D1">
        <w:rPr>
          <w:rFonts w:ascii="Times New Roman" w:eastAsia="Times New Roman" w:hAnsi="Times New Roman" w:cs="Times New Roman"/>
          <w:sz w:val="24"/>
          <w:szCs w:val="24"/>
        </w:rPr>
        <w:t>ı</w:t>
      </w:r>
      <w:r w:rsidRPr="00AB662B">
        <w:rPr>
          <w:rFonts w:ascii="Times New Roman" w:eastAsia="Times New Roman" w:hAnsi="Times New Roman" w:cs="Times New Roman"/>
          <w:sz w:val="24"/>
          <w:szCs w:val="24"/>
        </w:rPr>
        <w:t xml:space="preserve"> oranında gerçekleşmiştir</w:t>
      </w:r>
      <w:r w:rsidRPr="00AB662B">
        <w:rPr>
          <w:rFonts w:ascii="Times New Roman" w:eastAsia="Times New Roman" w:hAnsi="Times New Roman" w:cs="Times New Roman"/>
          <w:bCs/>
          <w:sz w:val="24"/>
          <w:szCs w:val="24"/>
        </w:rPr>
        <w:t>.</w:t>
      </w:r>
    </w:p>
    <w:p w:rsidR="00AB662B" w:rsidRPr="00AB662B" w:rsidRDefault="00485C98" w:rsidP="00F0482E">
      <w:pPr>
        <w:keepNext/>
        <w:keepLines/>
        <w:spacing w:after="0" w:line="360" w:lineRule="auto"/>
        <w:ind w:firstLine="54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2017 ve 2018</w:t>
      </w:r>
      <w:r w:rsidR="00AB662B" w:rsidRPr="00AB662B">
        <w:rPr>
          <w:rFonts w:ascii="Times New Roman" w:eastAsia="Times New Roman" w:hAnsi="Times New Roman" w:cs="Times New Roman"/>
          <w:sz w:val="24"/>
          <w:szCs w:val="24"/>
          <w:lang w:eastAsia="tr-TR"/>
        </w:rPr>
        <w:t xml:space="preserve"> yılı bütçe gelir</w:t>
      </w:r>
      <w:r>
        <w:rPr>
          <w:rFonts w:ascii="Times New Roman" w:eastAsia="Times New Roman" w:hAnsi="Times New Roman" w:cs="Times New Roman"/>
          <w:sz w:val="24"/>
          <w:szCs w:val="24"/>
          <w:lang w:eastAsia="tr-TR"/>
        </w:rPr>
        <w:t>lerinin aylık gerçekleşmeleri</w:t>
      </w:r>
      <w:r w:rsidR="00AB662B" w:rsidRPr="00AB662B">
        <w:rPr>
          <w:rFonts w:ascii="Times New Roman" w:eastAsia="Times New Roman" w:hAnsi="Times New Roman" w:cs="Times New Roman"/>
          <w:sz w:val="24"/>
          <w:szCs w:val="24"/>
          <w:lang w:eastAsia="tr-TR"/>
        </w:rPr>
        <w:t xml:space="preserve"> aşağıda tabloda gösterilmiştir.</w:t>
      </w:r>
    </w:p>
    <w:p w:rsidR="00AB662B" w:rsidRDefault="00AB662B" w:rsidP="00F0482E">
      <w:pPr>
        <w:spacing w:after="0" w:line="360" w:lineRule="auto"/>
        <w:jc w:val="center"/>
        <w:rPr>
          <w:rFonts w:ascii="Times New Roman" w:eastAsia="Times New Roman" w:hAnsi="Times New Roman" w:cs="Times New Roman"/>
          <w:b/>
          <w:bCs/>
          <w:sz w:val="24"/>
          <w:szCs w:val="24"/>
          <w:lang w:eastAsia="tr-TR"/>
        </w:rPr>
      </w:pPr>
      <w:r w:rsidRPr="00AB662B">
        <w:rPr>
          <w:rFonts w:ascii="Times New Roman" w:eastAsia="Times New Roman" w:hAnsi="Times New Roman" w:cs="Times New Roman"/>
          <w:b/>
          <w:bCs/>
          <w:sz w:val="24"/>
          <w:szCs w:val="24"/>
          <w:lang w:eastAsia="tr-TR"/>
        </w:rPr>
        <w:t xml:space="preserve">2017 ve </w:t>
      </w:r>
      <w:r w:rsidR="002F6A4A">
        <w:rPr>
          <w:rFonts w:ascii="Times New Roman" w:eastAsia="Times New Roman" w:hAnsi="Times New Roman" w:cs="Times New Roman"/>
          <w:b/>
          <w:bCs/>
          <w:sz w:val="24"/>
          <w:szCs w:val="24"/>
          <w:lang w:eastAsia="tr-TR"/>
        </w:rPr>
        <w:t xml:space="preserve">2018 Yılları Ocak-Haziran Arası </w:t>
      </w:r>
      <w:r w:rsidRPr="00AB662B">
        <w:rPr>
          <w:rFonts w:ascii="Times New Roman" w:eastAsia="Times New Roman" w:hAnsi="Times New Roman" w:cs="Times New Roman"/>
          <w:b/>
          <w:bCs/>
          <w:sz w:val="24"/>
          <w:szCs w:val="24"/>
          <w:lang w:eastAsia="tr-TR"/>
        </w:rPr>
        <w:t>Aylık Bütçe Gelir Gerçekleşmeleri</w:t>
      </w:r>
    </w:p>
    <w:p w:rsidR="00485C98" w:rsidRPr="00AB662B" w:rsidRDefault="00485C98" w:rsidP="002F6A4A">
      <w:pPr>
        <w:spacing w:after="0" w:line="240" w:lineRule="auto"/>
        <w:jc w:val="center"/>
        <w:rPr>
          <w:rFonts w:ascii="Times New Roman" w:eastAsia="Times New Roman" w:hAnsi="Times New Roman" w:cs="Times New Roman"/>
          <w:b/>
          <w:bCs/>
          <w:sz w:val="24"/>
          <w:szCs w:val="24"/>
          <w:lang w:eastAsia="tr-TR"/>
        </w:rPr>
      </w:pPr>
    </w:p>
    <w:tbl>
      <w:tblPr>
        <w:tblW w:w="1017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2093"/>
        <w:gridCol w:w="4040"/>
        <w:gridCol w:w="4040"/>
      </w:tblGrid>
      <w:tr w:rsidR="002F6A4A" w:rsidRPr="00AB662B" w:rsidTr="002F6A4A">
        <w:trPr>
          <w:trHeight w:val="486"/>
        </w:trPr>
        <w:tc>
          <w:tcPr>
            <w:tcW w:w="2093"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AYLAR</w:t>
            </w:r>
          </w:p>
        </w:tc>
        <w:tc>
          <w:tcPr>
            <w:tcW w:w="4040"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2017 YILI NET GERÇEKLEŞME</w:t>
            </w:r>
          </w:p>
        </w:tc>
        <w:tc>
          <w:tcPr>
            <w:tcW w:w="4040" w:type="dxa"/>
            <w:tcBorders>
              <w:top w:val="single" w:sz="8" w:space="0" w:color="FFFFFF"/>
              <w:left w:val="single" w:sz="8" w:space="0" w:color="FFFFFF"/>
              <w:bottom w:val="single" w:sz="24" w:space="0" w:color="FFFFFF"/>
              <w:right w:val="single" w:sz="8"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2018 YILI NET GERÇEKLEŞME</w:t>
            </w:r>
          </w:p>
        </w:tc>
      </w:tr>
      <w:tr w:rsidR="002F6A4A" w:rsidRPr="00AB662B" w:rsidTr="002F6A4A">
        <w:trPr>
          <w:trHeight w:val="378"/>
        </w:trPr>
        <w:tc>
          <w:tcPr>
            <w:tcW w:w="2093" w:type="dxa"/>
            <w:tcBorders>
              <w:top w:val="single" w:sz="8" w:space="0" w:color="FFFFFF"/>
              <w:left w:val="single" w:sz="8" w:space="0" w:color="FFFFFF"/>
              <w:bottom w:val="nil"/>
              <w:right w:val="single" w:sz="24"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OCAK</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sidRPr="00AB662B">
              <w:rPr>
                <w:rFonts w:ascii="Arial TUR" w:eastAsia="Times New Roman" w:hAnsi="Arial TUR" w:cs="Arial TUR"/>
                <w:b/>
                <w:color w:val="943634"/>
                <w:sz w:val="18"/>
                <w:szCs w:val="18"/>
                <w:lang w:eastAsia="tr-TR"/>
              </w:rPr>
              <w:t>12.419.72</w:t>
            </w:r>
            <w:r>
              <w:rPr>
                <w:rFonts w:ascii="Arial TUR" w:eastAsia="Times New Roman" w:hAnsi="Arial TUR" w:cs="Arial TUR"/>
                <w:b/>
                <w:color w:val="943634"/>
                <w:sz w:val="18"/>
                <w:szCs w:val="18"/>
                <w:lang w:eastAsia="tr-TR"/>
              </w:rPr>
              <w:t>5,46</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12.731.114,28</w:t>
            </w:r>
          </w:p>
        </w:tc>
      </w:tr>
      <w:tr w:rsidR="002F6A4A" w:rsidRPr="00AB662B" w:rsidTr="002F6A4A">
        <w:trPr>
          <w:trHeight w:val="378"/>
        </w:trPr>
        <w:tc>
          <w:tcPr>
            <w:tcW w:w="2093" w:type="dxa"/>
            <w:tcBorders>
              <w:left w:val="single" w:sz="8" w:space="0" w:color="FFFFFF"/>
              <w:bottom w:val="nil"/>
              <w:right w:val="single" w:sz="24"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ŞUBAT</w:t>
            </w:r>
          </w:p>
        </w:tc>
        <w:tc>
          <w:tcPr>
            <w:tcW w:w="4040" w:type="dxa"/>
            <w:shd w:val="clear" w:color="auto" w:fill="D3DFE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12.621.112,79</w:t>
            </w:r>
          </w:p>
        </w:tc>
        <w:tc>
          <w:tcPr>
            <w:tcW w:w="4040" w:type="dxa"/>
            <w:shd w:val="clear" w:color="auto" w:fill="D3DFE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12.630.503,44</w:t>
            </w:r>
          </w:p>
        </w:tc>
      </w:tr>
      <w:tr w:rsidR="002F6A4A" w:rsidRPr="00AB662B" w:rsidTr="002F6A4A">
        <w:trPr>
          <w:trHeight w:val="378"/>
        </w:trPr>
        <w:tc>
          <w:tcPr>
            <w:tcW w:w="2093" w:type="dxa"/>
            <w:tcBorders>
              <w:top w:val="single" w:sz="8" w:space="0" w:color="FFFFFF"/>
              <w:left w:val="single" w:sz="8" w:space="0" w:color="FFFFFF"/>
              <w:bottom w:val="nil"/>
              <w:right w:val="single" w:sz="24"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MART</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13.078.046,06</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13.038.814,91</w:t>
            </w:r>
          </w:p>
        </w:tc>
      </w:tr>
      <w:tr w:rsidR="002F6A4A" w:rsidRPr="00AB662B" w:rsidTr="002F6A4A">
        <w:trPr>
          <w:trHeight w:val="378"/>
        </w:trPr>
        <w:tc>
          <w:tcPr>
            <w:tcW w:w="2093" w:type="dxa"/>
            <w:tcBorders>
              <w:left w:val="single" w:sz="8" w:space="0" w:color="FFFFFF"/>
              <w:bottom w:val="nil"/>
              <w:right w:val="single" w:sz="24"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NİSAN</w:t>
            </w:r>
          </w:p>
        </w:tc>
        <w:tc>
          <w:tcPr>
            <w:tcW w:w="4040" w:type="dxa"/>
            <w:shd w:val="clear" w:color="auto" w:fill="D3DFE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10.728.547,24</w:t>
            </w:r>
          </w:p>
        </w:tc>
        <w:tc>
          <w:tcPr>
            <w:tcW w:w="4040" w:type="dxa"/>
            <w:shd w:val="clear" w:color="auto" w:fill="D3DFE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14.725.806,08</w:t>
            </w:r>
          </w:p>
        </w:tc>
      </w:tr>
      <w:tr w:rsidR="002F6A4A" w:rsidRPr="00AB662B" w:rsidTr="002F6A4A">
        <w:trPr>
          <w:trHeight w:val="378"/>
        </w:trPr>
        <w:tc>
          <w:tcPr>
            <w:tcW w:w="2093" w:type="dxa"/>
            <w:tcBorders>
              <w:top w:val="single" w:sz="8" w:space="0" w:color="FFFFFF"/>
              <w:left w:val="single" w:sz="8" w:space="0" w:color="FFFFFF"/>
              <w:bottom w:val="nil"/>
              <w:right w:val="single" w:sz="24"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MAYIS</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14.989.523,14</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21.446.886,34</w:t>
            </w:r>
          </w:p>
        </w:tc>
      </w:tr>
      <w:tr w:rsidR="002F6A4A" w:rsidRPr="00AB662B" w:rsidTr="002F6A4A">
        <w:trPr>
          <w:trHeight w:val="378"/>
        </w:trPr>
        <w:tc>
          <w:tcPr>
            <w:tcW w:w="2093" w:type="dxa"/>
            <w:tcBorders>
              <w:left w:val="single" w:sz="8" w:space="0" w:color="FFFFFF"/>
              <w:bottom w:val="nil"/>
              <w:right w:val="single" w:sz="24"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18"/>
                <w:szCs w:val="18"/>
                <w:lang w:eastAsia="tr-TR"/>
              </w:rPr>
            </w:pPr>
            <w:r w:rsidRPr="00AB662B">
              <w:rPr>
                <w:rFonts w:ascii="Times New Roman" w:eastAsia="Times New Roman" w:hAnsi="Times New Roman" w:cs="Times New Roman"/>
                <w:b/>
                <w:bCs/>
                <w:color w:val="FFFFFF"/>
                <w:sz w:val="18"/>
                <w:szCs w:val="18"/>
                <w:lang w:eastAsia="tr-TR"/>
              </w:rPr>
              <w:t>HAZİRAN</w:t>
            </w:r>
          </w:p>
        </w:tc>
        <w:tc>
          <w:tcPr>
            <w:tcW w:w="4040" w:type="dxa"/>
            <w:shd w:val="clear" w:color="auto" w:fill="D3DFE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12.437.138,75</w:t>
            </w:r>
          </w:p>
        </w:tc>
        <w:tc>
          <w:tcPr>
            <w:tcW w:w="4040" w:type="dxa"/>
            <w:shd w:val="clear" w:color="auto" w:fill="D3DFEE"/>
            <w:noWrap/>
            <w:vAlign w:val="center"/>
            <w:hideMark/>
          </w:tcPr>
          <w:p w:rsidR="002F6A4A" w:rsidRPr="00AB662B" w:rsidRDefault="002F6A4A" w:rsidP="00AB662B">
            <w:pPr>
              <w:spacing w:after="0" w:line="240" w:lineRule="auto"/>
              <w:jc w:val="center"/>
              <w:rPr>
                <w:rFonts w:ascii="Arial TUR" w:eastAsia="Times New Roman" w:hAnsi="Arial TUR" w:cs="Arial TUR"/>
                <w:b/>
                <w:color w:val="943634"/>
                <w:sz w:val="18"/>
                <w:szCs w:val="18"/>
                <w:lang w:eastAsia="tr-TR"/>
              </w:rPr>
            </w:pPr>
            <w:r>
              <w:rPr>
                <w:rFonts w:ascii="Arial TUR" w:eastAsia="Times New Roman" w:hAnsi="Arial TUR" w:cs="Arial TUR"/>
                <w:b/>
                <w:color w:val="943634"/>
                <w:sz w:val="18"/>
                <w:szCs w:val="18"/>
                <w:lang w:eastAsia="tr-TR"/>
              </w:rPr>
              <w:t>12.616.948,90</w:t>
            </w:r>
          </w:p>
        </w:tc>
      </w:tr>
      <w:tr w:rsidR="002F6A4A" w:rsidRPr="00AB662B" w:rsidTr="002F6A4A">
        <w:trPr>
          <w:trHeight w:val="378"/>
        </w:trPr>
        <w:tc>
          <w:tcPr>
            <w:tcW w:w="2093" w:type="dxa"/>
            <w:tcBorders>
              <w:top w:val="single" w:sz="8" w:space="0" w:color="FFFFFF"/>
              <w:left w:val="single" w:sz="8" w:space="0" w:color="FFFFFF"/>
              <w:bottom w:val="single" w:sz="8" w:space="0" w:color="FFFFFF"/>
              <w:right w:val="single" w:sz="24" w:space="0" w:color="FFFFFF"/>
            </w:tcBorders>
            <w:shd w:val="clear" w:color="auto" w:fill="4F81BD"/>
            <w:vAlign w:val="center"/>
            <w:hideMark/>
          </w:tcPr>
          <w:p w:rsidR="002F6A4A" w:rsidRPr="00AB662B" w:rsidRDefault="002F6A4A" w:rsidP="00AB662B">
            <w:pPr>
              <w:spacing w:after="0" w:line="240" w:lineRule="auto"/>
              <w:jc w:val="center"/>
              <w:rPr>
                <w:rFonts w:ascii="Times New Roman" w:eastAsia="Times New Roman" w:hAnsi="Times New Roman" w:cs="Times New Roman"/>
                <w:b/>
                <w:bCs/>
                <w:color w:val="FFFFFF"/>
                <w:sz w:val="20"/>
                <w:szCs w:val="18"/>
                <w:lang w:eastAsia="tr-TR"/>
              </w:rPr>
            </w:pPr>
            <w:r w:rsidRPr="00AB662B">
              <w:rPr>
                <w:rFonts w:ascii="Times New Roman" w:eastAsia="Times New Roman" w:hAnsi="Times New Roman" w:cs="Times New Roman"/>
                <w:b/>
                <w:bCs/>
                <w:color w:val="FFFFFF"/>
                <w:sz w:val="20"/>
                <w:szCs w:val="18"/>
                <w:lang w:eastAsia="tr-TR"/>
              </w:rPr>
              <w:t>TOPLAM</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bCs/>
                <w:color w:val="943634"/>
                <w:sz w:val="18"/>
                <w:szCs w:val="18"/>
                <w:lang w:eastAsia="tr-TR"/>
              </w:rPr>
            </w:pPr>
            <w:r>
              <w:rPr>
                <w:rFonts w:ascii="Arial TUR" w:eastAsia="Times New Roman" w:hAnsi="Arial TUR" w:cs="Arial TUR"/>
                <w:b/>
                <w:bCs/>
                <w:color w:val="943634"/>
                <w:sz w:val="18"/>
                <w:szCs w:val="18"/>
                <w:lang w:eastAsia="tr-TR"/>
              </w:rPr>
              <w:t>76.274.093,44</w:t>
            </w:r>
          </w:p>
        </w:tc>
        <w:tc>
          <w:tcPr>
            <w:tcW w:w="4040" w:type="dxa"/>
            <w:tcBorders>
              <w:top w:val="single" w:sz="8" w:space="0" w:color="FFFFFF"/>
              <w:left w:val="single" w:sz="8" w:space="0" w:color="FFFFFF"/>
              <w:bottom w:val="single" w:sz="8" w:space="0" w:color="FFFFFF"/>
              <w:right w:val="single" w:sz="8" w:space="0" w:color="FFFFFF"/>
            </w:tcBorders>
            <w:shd w:val="clear" w:color="auto" w:fill="A7BFDE"/>
            <w:noWrap/>
            <w:vAlign w:val="center"/>
            <w:hideMark/>
          </w:tcPr>
          <w:p w:rsidR="002F6A4A" w:rsidRPr="00AB662B" w:rsidRDefault="002F6A4A" w:rsidP="00AB662B">
            <w:pPr>
              <w:spacing w:after="0" w:line="240" w:lineRule="auto"/>
              <w:jc w:val="center"/>
              <w:rPr>
                <w:rFonts w:ascii="Arial TUR" w:eastAsia="Times New Roman" w:hAnsi="Arial TUR" w:cs="Arial TUR"/>
                <w:b/>
                <w:bCs/>
                <w:color w:val="943634"/>
                <w:sz w:val="18"/>
                <w:szCs w:val="18"/>
                <w:lang w:eastAsia="tr-TR"/>
              </w:rPr>
            </w:pPr>
            <w:r>
              <w:rPr>
                <w:rFonts w:ascii="Arial TUR" w:eastAsia="Times New Roman" w:hAnsi="Arial TUR" w:cs="Arial TUR"/>
                <w:b/>
                <w:bCs/>
                <w:color w:val="943634"/>
                <w:sz w:val="18"/>
                <w:szCs w:val="18"/>
                <w:lang w:eastAsia="tr-TR"/>
              </w:rPr>
              <w:t>87.190.073,95</w:t>
            </w:r>
          </w:p>
        </w:tc>
      </w:tr>
    </w:tbl>
    <w:p w:rsidR="00AB662B" w:rsidRPr="00AB662B" w:rsidRDefault="00AB662B" w:rsidP="00AB662B">
      <w:pPr>
        <w:spacing w:after="120" w:line="360" w:lineRule="auto"/>
        <w:jc w:val="both"/>
        <w:rPr>
          <w:rFonts w:ascii="Times New Roman" w:eastAsia="Times New Roman" w:hAnsi="Times New Roman" w:cs="Times New Roman"/>
          <w:noProof/>
          <w:color w:val="FF0000"/>
          <w:sz w:val="24"/>
          <w:szCs w:val="24"/>
          <w:lang w:eastAsia="tr-TR"/>
        </w:rPr>
      </w:pPr>
    </w:p>
    <w:p w:rsidR="00AB662B" w:rsidRPr="00AB662B" w:rsidRDefault="00674107" w:rsidP="00AB662B">
      <w:pPr>
        <w:spacing w:after="120" w:line="360" w:lineRule="auto"/>
        <w:rPr>
          <w:rFonts w:ascii="Times New Roman" w:eastAsia="Times New Roman" w:hAnsi="Times New Roman" w:cs="Times New Roman"/>
          <w:bCs/>
          <w:i/>
          <w:color w:val="FF0000"/>
          <w:sz w:val="20"/>
          <w:szCs w:val="20"/>
          <w:lang w:eastAsia="tr-TR"/>
        </w:rPr>
      </w:pPr>
      <w:r>
        <w:rPr>
          <w:noProof/>
          <w:lang w:eastAsia="tr-TR"/>
        </w:rPr>
        <w:drawing>
          <wp:inline distT="0" distB="0" distL="0" distR="0" wp14:anchorId="3C54ABED" wp14:editId="37E0A359">
            <wp:extent cx="6376894" cy="3239247"/>
            <wp:effectExtent l="0" t="0" r="24130" b="18415"/>
            <wp:docPr id="30"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572CA" w:rsidRDefault="00AB662B" w:rsidP="00AB662B">
      <w:pPr>
        <w:spacing w:after="120" w:line="360" w:lineRule="auto"/>
        <w:ind w:firstLine="540"/>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color w:val="FF0000"/>
          <w:sz w:val="24"/>
          <w:szCs w:val="24"/>
          <w:lang w:eastAsia="tr-TR"/>
        </w:rPr>
        <w:t xml:space="preserve"> </w:t>
      </w:r>
      <w:r w:rsidR="00E572CA" w:rsidRPr="00E572CA">
        <w:rPr>
          <w:rFonts w:ascii="Times New Roman" w:eastAsia="Times New Roman" w:hAnsi="Times New Roman" w:cs="Times New Roman"/>
          <w:sz w:val="24"/>
          <w:szCs w:val="24"/>
          <w:lang w:eastAsia="tr-TR"/>
        </w:rPr>
        <w:t xml:space="preserve">2018 yılı </w:t>
      </w:r>
      <w:r w:rsidRPr="00AB662B">
        <w:rPr>
          <w:rFonts w:ascii="Times New Roman" w:eastAsia="Times New Roman" w:hAnsi="Times New Roman" w:cs="Times New Roman"/>
          <w:sz w:val="24"/>
          <w:szCs w:val="24"/>
          <w:lang w:eastAsia="tr-TR"/>
        </w:rPr>
        <w:t>Haziran sonu itibariyle, gerçekleşen gelir bütçesi</w:t>
      </w:r>
      <w:r w:rsidR="00E572CA">
        <w:rPr>
          <w:rFonts w:ascii="Times New Roman" w:eastAsia="Times New Roman" w:hAnsi="Times New Roman" w:cs="Times New Roman"/>
          <w:sz w:val="24"/>
          <w:szCs w:val="24"/>
          <w:lang w:eastAsia="tr-TR"/>
        </w:rPr>
        <w:t xml:space="preserve">nin bütçe tahminine göre; </w:t>
      </w:r>
    </w:p>
    <w:p w:rsidR="00E572CA" w:rsidRDefault="00AB662B" w:rsidP="00E572CA">
      <w:pPr>
        <w:pStyle w:val="ListeParagraf"/>
        <w:numPr>
          <w:ilvl w:val="2"/>
          <w:numId w:val="9"/>
        </w:numPr>
        <w:spacing w:after="120" w:line="360" w:lineRule="auto"/>
        <w:jc w:val="both"/>
        <w:rPr>
          <w:rFonts w:ascii="Times New Roman" w:eastAsia="Times New Roman" w:hAnsi="Times New Roman" w:cs="Times New Roman"/>
          <w:sz w:val="24"/>
          <w:szCs w:val="24"/>
          <w:lang w:eastAsia="tr-TR"/>
        </w:rPr>
      </w:pPr>
      <w:r w:rsidRPr="00E572CA">
        <w:rPr>
          <w:rFonts w:ascii="Times New Roman" w:eastAsia="Times New Roman" w:hAnsi="Times New Roman" w:cs="Times New Roman"/>
          <w:sz w:val="24"/>
          <w:szCs w:val="24"/>
          <w:lang w:eastAsia="tr-TR"/>
        </w:rPr>
        <w:t>Vergi Gelirlerin</w:t>
      </w:r>
      <w:r w:rsidR="00E572CA" w:rsidRPr="00E572CA">
        <w:rPr>
          <w:rFonts w:ascii="Times New Roman" w:eastAsia="Times New Roman" w:hAnsi="Times New Roman" w:cs="Times New Roman"/>
          <w:sz w:val="24"/>
          <w:szCs w:val="24"/>
          <w:lang w:eastAsia="tr-TR"/>
        </w:rPr>
        <w:t xml:space="preserve">de  </w:t>
      </w:r>
      <w:r w:rsidRPr="00E572CA">
        <w:rPr>
          <w:rFonts w:ascii="Times New Roman" w:eastAsia="Times New Roman" w:hAnsi="Times New Roman" w:cs="Times New Roman"/>
          <w:sz w:val="24"/>
          <w:szCs w:val="24"/>
          <w:lang w:eastAsia="tr-TR"/>
        </w:rPr>
        <w:t xml:space="preserve">% </w:t>
      </w:r>
      <w:r w:rsidR="00E572CA" w:rsidRPr="00E572CA">
        <w:rPr>
          <w:rFonts w:ascii="Times New Roman" w:eastAsia="Times New Roman" w:hAnsi="Times New Roman" w:cs="Times New Roman"/>
          <w:sz w:val="24"/>
          <w:szCs w:val="24"/>
          <w:lang w:eastAsia="tr-TR"/>
        </w:rPr>
        <w:t xml:space="preserve"> 29,85, </w:t>
      </w:r>
    </w:p>
    <w:p w:rsidR="00E572CA" w:rsidRDefault="00AB662B" w:rsidP="00E572CA">
      <w:pPr>
        <w:pStyle w:val="ListeParagraf"/>
        <w:numPr>
          <w:ilvl w:val="2"/>
          <w:numId w:val="9"/>
        </w:numPr>
        <w:spacing w:after="120" w:line="360" w:lineRule="auto"/>
        <w:jc w:val="both"/>
        <w:rPr>
          <w:rFonts w:ascii="Times New Roman" w:eastAsia="Times New Roman" w:hAnsi="Times New Roman" w:cs="Times New Roman"/>
          <w:sz w:val="24"/>
          <w:szCs w:val="24"/>
          <w:lang w:eastAsia="tr-TR"/>
        </w:rPr>
      </w:pPr>
      <w:r w:rsidRPr="00E572CA">
        <w:rPr>
          <w:rFonts w:ascii="Times New Roman" w:eastAsia="Times New Roman" w:hAnsi="Times New Roman" w:cs="Times New Roman"/>
          <w:sz w:val="24"/>
          <w:szCs w:val="24"/>
          <w:lang w:eastAsia="tr-TR"/>
        </w:rPr>
        <w:t>Teşebbüs ve Mülkiyet Gelirlerin</w:t>
      </w:r>
      <w:r w:rsidR="00E572CA" w:rsidRPr="00E572CA">
        <w:rPr>
          <w:rFonts w:ascii="Times New Roman" w:eastAsia="Times New Roman" w:hAnsi="Times New Roman" w:cs="Times New Roman"/>
          <w:sz w:val="24"/>
          <w:szCs w:val="24"/>
          <w:lang w:eastAsia="tr-TR"/>
        </w:rPr>
        <w:t>de</w:t>
      </w:r>
      <w:r w:rsidRPr="00E572CA">
        <w:rPr>
          <w:rFonts w:ascii="Times New Roman" w:eastAsia="Times New Roman" w:hAnsi="Times New Roman" w:cs="Times New Roman"/>
          <w:sz w:val="24"/>
          <w:szCs w:val="24"/>
          <w:lang w:eastAsia="tr-TR"/>
        </w:rPr>
        <w:t xml:space="preserve"> %</w:t>
      </w:r>
      <w:r w:rsidR="00E572CA" w:rsidRPr="00E572CA">
        <w:rPr>
          <w:rFonts w:ascii="Times New Roman" w:eastAsia="Times New Roman" w:hAnsi="Times New Roman" w:cs="Times New Roman"/>
          <w:sz w:val="24"/>
          <w:szCs w:val="24"/>
          <w:lang w:eastAsia="tr-TR"/>
        </w:rPr>
        <w:t xml:space="preserve">31,32, </w:t>
      </w:r>
    </w:p>
    <w:p w:rsidR="00E572CA" w:rsidRDefault="00AB662B" w:rsidP="00E572CA">
      <w:pPr>
        <w:pStyle w:val="ListeParagraf"/>
        <w:numPr>
          <w:ilvl w:val="2"/>
          <w:numId w:val="9"/>
        </w:numPr>
        <w:spacing w:after="120" w:line="360" w:lineRule="auto"/>
        <w:jc w:val="both"/>
        <w:rPr>
          <w:rFonts w:ascii="Times New Roman" w:eastAsia="Times New Roman" w:hAnsi="Times New Roman" w:cs="Times New Roman"/>
          <w:sz w:val="24"/>
          <w:szCs w:val="24"/>
          <w:lang w:eastAsia="tr-TR"/>
        </w:rPr>
      </w:pPr>
      <w:r w:rsidRPr="00E572CA">
        <w:rPr>
          <w:rFonts w:ascii="Times New Roman" w:eastAsia="Times New Roman" w:hAnsi="Times New Roman" w:cs="Times New Roman"/>
          <w:sz w:val="24"/>
          <w:szCs w:val="24"/>
          <w:lang w:eastAsia="tr-TR"/>
        </w:rPr>
        <w:t>Faizler, Paylar ve Cezalardan oluşan Diğer Gelirler</w:t>
      </w:r>
      <w:r w:rsidR="00E572CA" w:rsidRPr="00E572CA">
        <w:rPr>
          <w:rFonts w:ascii="Times New Roman" w:eastAsia="Times New Roman" w:hAnsi="Times New Roman" w:cs="Times New Roman"/>
          <w:sz w:val="24"/>
          <w:szCs w:val="24"/>
          <w:lang w:eastAsia="tr-TR"/>
        </w:rPr>
        <w:t>de</w:t>
      </w:r>
      <w:r w:rsidRPr="00E572CA">
        <w:rPr>
          <w:rFonts w:ascii="Times New Roman" w:eastAsia="Times New Roman" w:hAnsi="Times New Roman" w:cs="Times New Roman"/>
          <w:sz w:val="24"/>
          <w:szCs w:val="24"/>
          <w:lang w:eastAsia="tr-TR"/>
        </w:rPr>
        <w:t xml:space="preserve"> %</w:t>
      </w:r>
      <w:r w:rsidR="00E572CA" w:rsidRPr="00E572CA">
        <w:rPr>
          <w:rFonts w:ascii="Times New Roman" w:eastAsia="Times New Roman" w:hAnsi="Times New Roman" w:cs="Times New Roman"/>
          <w:sz w:val="24"/>
          <w:szCs w:val="24"/>
          <w:lang w:eastAsia="tr-TR"/>
        </w:rPr>
        <w:t>44,22</w:t>
      </w:r>
      <w:r w:rsidRPr="00E572CA">
        <w:rPr>
          <w:rFonts w:ascii="Times New Roman" w:eastAsia="Times New Roman" w:hAnsi="Times New Roman" w:cs="Times New Roman"/>
          <w:sz w:val="24"/>
          <w:szCs w:val="24"/>
          <w:lang w:eastAsia="tr-TR"/>
        </w:rPr>
        <w:t xml:space="preserve">, </w:t>
      </w:r>
    </w:p>
    <w:p w:rsidR="00E572CA" w:rsidRPr="00E572CA" w:rsidRDefault="00AB662B" w:rsidP="00E572CA">
      <w:pPr>
        <w:pStyle w:val="ListeParagraf"/>
        <w:numPr>
          <w:ilvl w:val="2"/>
          <w:numId w:val="9"/>
        </w:numPr>
        <w:spacing w:after="120" w:line="360" w:lineRule="auto"/>
        <w:jc w:val="both"/>
        <w:rPr>
          <w:rFonts w:ascii="Times New Roman" w:eastAsia="Times New Roman" w:hAnsi="Times New Roman" w:cs="Times New Roman"/>
          <w:sz w:val="24"/>
          <w:szCs w:val="24"/>
          <w:lang w:eastAsia="tr-TR"/>
        </w:rPr>
      </w:pPr>
      <w:r w:rsidRPr="00E572CA">
        <w:rPr>
          <w:rFonts w:ascii="Times New Roman" w:eastAsia="Times New Roman" w:hAnsi="Times New Roman" w:cs="Times New Roman"/>
          <w:sz w:val="24"/>
          <w:szCs w:val="24"/>
          <w:lang w:eastAsia="tr-TR"/>
        </w:rPr>
        <w:t>Sermaye Gelirleri</w:t>
      </w:r>
      <w:r w:rsidR="00E572CA" w:rsidRPr="00E572CA">
        <w:rPr>
          <w:rFonts w:ascii="Times New Roman" w:eastAsia="Times New Roman" w:hAnsi="Times New Roman" w:cs="Times New Roman"/>
          <w:sz w:val="24"/>
          <w:szCs w:val="24"/>
          <w:lang w:eastAsia="tr-TR"/>
        </w:rPr>
        <w:t>nde</w:t>
      </w:r>
      <w:r w:rsidRPr="00E572CA">
        <w:rPr>
          <w:rFonts w:ascii="Times New Roman" w:eastAsia="Times New Roman" w:hAnsi="Times New Roman" w:cs="Times New Roman"/>
          <w:sz w:val="24"/>
          <w:szCs w:val="24"/>
          <w:lang w:eastAsia="tr-TR"/>
        </w:rPr>
        <w:t xml:space="preserve"> % </w:t>
      </w:r>
      <w:r w:rsidR="00E572CA" w:rsidRPr="00E572CA">
        <w:rPr>
          <w:rFonts w:ascii="Times New Roman" w:eastAsia="Times New Roman" w:hAnsi="Times New Roman" w:cs="Times New Roman"/>
          <w:sz w:val="24"/>
          <w:szCs w:val="24"/>
          <w:lang w:eastAsia="tr-TR"/>
        </w:rPr>
        <w:t>14,17</w:t>
      </w:r>
      <w:r w:rsidRPr="00E572CA">
        <w:rPr>
          <w:rFonts w:ascii="Times New Roman" w:eastAsia="Times New Roman" w:hAnsi="Times New Roman" w:cs="Times New Roman"/>
          <w:sz w:val="24"/>
          <w:szCs w:val="24"/>
          <w:lang w:eastAsia="tr-TR"/>
        </w:rPr>
        <w:t xml:space="preserve"> </w:t>
      </w:r>
    </w:p>
    <w:p w:rsidR="00AB662B" w:rsidRPr="00AB662B" w:rsidRDefault="00AB662B" w:rsidP="00AB662B">
      <w:pPr>
        <w:spacing w:after="120" w:line="360" w:lineRule="auto"/>
        <w:ind w:firstLine="540"/>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olarak gerçekleşm</w:t>
      </w:r>
      <w:r w:rsidR="00E572CA">
        <w:rPr>
          <w:rFonts w:ascii="Times New Roman" w:eastAsia="Times New Roman" w:hAnsi="Times New Roman" w:cs="Times New Roman"/>
          <w:sz w:val="24"/>
          <w:szCs w:val="24"/>
          <w:lang w:eastAsia="tr-TR"/>
        </w:rPr>
        <w:t>e sağlanmıştır</w:t>
      </w:r>
      <w:r w:rsidRPr="00AB662B">
        <w:rPr>
          <w:rFonts w:ascii="Times New Roman" w:eastAsia="Times New Roman" w:hAnsi="Times New Roman" w:cs="Times New Roman"/>
          <w:sz w:val="24"/>
          <w:szCs w:val="24"/>
          <w:lang w:eastAsia="tr-TR"/>
        </w:rPr>
        <w:t xml:space="preserve">. </w:t>
      </w:r>
    </w:p>
    <w:p w:rsidR="00AB662B" w:rsidRPr="00AB662B" w:rsidRDefault="00AB662B" w:rsidP="00AB662B">
      <w:pPr>
        <w:spacing w:after="0" w:line="240" w:lineRule="auto"/>
        <w:jc w:val="center"/>
        <w:rPr>
          <w:rFonts w:ascii="Times New Roman" w:eastAsia="Times New Roman" w:hAnsi="Times New Roman" w:cs="Times New Roman"/>
          <w:b/>
          <w:bCs/>
          <w:sz w:val="14"/>
          <w:szCs w:val="24"/>
          <w:lang w:eastAsia="tr-TR"/>
        </w:rPr>
      </w:pPr>
    </w:p>
    <w:p w:rsidR="00AB662B" w:rsidRPr="00AB662B" w:rsidRDefault="005C3B22" w:rsidP="00AB662B">
      <w:pPr>
        <w:tabs>
          <w:tab w:val="left" w:pos="3210"/>
        </w:tabs>
        <w:spacing w:after="0" w:line="240" w:lineRule="auto"/>
        <w:rPr>
          <w:rFonts w:ascii="Times New Roman" w:eastAsia="Times New Roman" w:hAnsi="Times New Roman" w:cs="Times New Roman"/>
          <w:b/>
          <w:bCs/>
          <w:color w:val="FF0000"/>
          <w:sz w:val="20"/>
          <w:szCs w:val="20"/>
          <w:lang w:eastAsia="tr-TR"/>
        </w:rPr>
      </w:pPr>
      <w:r>
        <w:rPr>
          <w:noProof/>
          <w:lang w:eastAsia="tr-TR"/>
        </w:rPr>
        <w:drawing>
          <wp:inline distT="0" distB="0" distL="0" distR="0" wp14:anchorId="737BD7E1" wp14:editId="02DDF213">
            <wp:extent cx="6308387" cy="4085617"/>
            <wp:effectExtent l="0" t="0" r="16510" b="1016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B662B" w:rsidRPr="00F0482E" w:rsidRDefault="00AB662B" w:rsidP="00F0482E">
      <w:pPr>
        <w:pStyle w:val="ListeParagraf"/>
        <w:keepNext/>
        <w:keepLines/>
        <w:numPr>
          <w:ilvl w:val="0"/>
          <w:numId w:val="7"/>
        </w:numPr>
        <w:spacing w:before="200" w:after="0" w:line="360" w:lineRule="auto"/>
        <w:outlineLvl w:val="2"/>
        <w:rPr>
          <w:rFonts w:ascii="Arial" w:eastAsia="Times New Roman" w:hAnsi="Arial" w:cs="Arial"/>
          <w:b/>
          <w:bCs/>
        </w:rPr>
      </w:pPr>
      <w:r w:rsidRPr="00485C98">
        <w:rPr>
          <w:rFonts w:ascii="Arial" w:eastAsia="Times New Roman" w:hAnsi="Arial" w:cs="Arial"/>
          <w:b/>
          <w:bCs/>
        </w:rPr>
        <w:t>Vergi Gelirleri</w:t>
      </w:r>
    </w:p>
    <w:p w:rsidR="00485C98" w:rsidRPr="00F0482E" w:rsidRDefault="00AB662B" w:rsidP="00F0482E">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t xml:space="preserve">Mülkiyet üzerinden alınan vergiler, </w:t>
      </w:r>
      <w:proofErr w:type="gramStart"/>
      <w:r w:rsidRPr="00AB662B">
        <w:rPr>
          <w:rFonts w:ascii="Times New Roman" w:eastAsia="Times New Roman" w:hAnsi="Times New Roman" w:cs="Times New Roman"/>
          <w:sz w:val="23"/>
          <w:szCs w:val="23"/>
          <w:lang w:eastAsia="tr-TR"/>
        </w:rPr>
        <w:t>dahilde</w:t>
      </w:r>
      <w:proofErr w:type="gramEnd"/>
      <w:r w:rsidRPr="00AB662B">
        <w:rPr>
          <w:rFonts w:ascii="Times New Roman" w:eastAsia="Times New Roman" w:hAnsi="Times New Roman" w:cs="Times New Roman"/>
          <w:sz w:val="23"/>
          <w:szCs w:val="23"/>
          <w:lang w:eastAsia="tr-TR"/>
        </w:rPr>
        <w:t xml:space="preserve"> alınan mal ve hizmet vergileri ve </w:t>
      </w:r>
      <w:r w:rsidR="005C3B22" w:rsidRPr="00AB662B">
        <w:rPr>
          <w:rFonts w:ascii="Times New Roman" w:eastAsia="Times New Roman" w:hAnsi="Times New Roman" w:cs="Times New Roman"/>
          <w:sz w:val="23"/>
          <w:szCs w:val="23"/>
          <w:lang w:eastAsia="tr-TR"/>
        </w:rPr>
        <w:t>Harçlardan</w:t>
      </w:r>
      <w:r w:rsidRPr="00AB662B">
        <w:rPr>
          <w:rFonts w:ascii="Times New Roman" w:eastAsia="Times New Roman" w:hAnsi="Times New Roman" w:cs="Times New Roman"/>
          <w:sz w:val="23"/>
          <w:szCs w:val="23"/>
          <w:lang w:eastAsia="tr-TR"/>
        </w:rPr>
        <w:t xml:space="preserve"> oluşan Vergi Gelirleri 2018 yılı Ocak-Haziran döneminde 26.298.266,75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gerçekleşmiştir. 2017 yılı Ocak-Haziran döneminde 23.245.342,03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r w:rsidR="00485C98">
        <w:rPr>
          <w:rFonts w:ascii="Times New Roman" w:eastAsia="Times New Roman" w:hAnsi="Times New Roman" w:cs="Times New Roman"/>
          <w:sz w:val="23"/>
          <w:szCs w:val="23"/>
          <w:lang w:eastAsia="tr-TR"/>
        </w:rPr>
        <w:t>olarak gerçe</w:t>
      </w:r>
      <w:r w:rsidR="00F0482E">
        <w:rPr>
          <w:rFonts w:ascii="Times New Roman" w:eastAsia="Times New Roman" w:hAnsi="Times New Roman" w:cs="Times New Roman"/>
          <w:sz w:val="23"/>
          <w:szCs w:val="23"/>
          <w:lang w:eastAsia="tr-TR"/>
        </w:rPr>
        <w:t>kleşmiştir.</w:t>
      </w:r>
    </w:p>
    <w:p w:rsidR="00AB662B" w:rsidRPr="00F0482E" w:rsidRDefault="00AB662B" w:rsidP="00F0482E">
      <w:pPr>
        <w:pStyle w:val="ListeParagraf"/>
        <w:numPr>
          <w:ilvl w:val="0"/>
          <w:numId w:val="8"/>
        </w:numPr>
        <w:spacing w:after="0" w:line="360" w:lineRule="auto"/>
        <w:jc w:val="both"/>
        <w:rPr>
          <w:rFonts w:ascii="Times New Roman" w:eastAsia="Times New Roman" w:hAnsi="Times New Roman" w:cs="Times New Roman"/>
          <w:sz w:val="23"/>
          <w:szCs w:val="23"/>
          <w:lang w:eastAsia="tr-TR"/>
        </w:rPr>
      </w:pPr>
      <w:r w:rsidRPr="00485C98">
        <w:rPr>
          <w:rFonts w:ascii="Arial" w:eastAsia="Times New Roman" w:hAnsi="Arial" w:cs="Arial"/>
          <w:b/>
          <w:bCs/>
        </w:rPr>
        <w:t xml:space="preserve">Teşebbüs ve Mülkiyet Gelirleri </w:t>
      </w:r>
    </w:p>
    <w:p w:rsidR="00AB662B" w:rsidRPr="00AB662B" w:rsidRDefault="00AB662B" w:rsidP="00F0482E">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ab/>
        <w:t xml:space="preserve">Teşebbüs ve Mülkiyet Gelirleri 2018 yılı Ocak-Haziran döneminde 13.406.068,70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gerçekleşmiştir. 2017 yılı Ocak-Haziran döneminde Teşebbüs ve Mülkiyet Gelirlerinin 12.404.578,62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r w:rsidR="005C3B22" w:rsidRPr="00AB662B">
        <w:rPr>
          <w:rFonts w:ascii="Times New Roman" w:eastAsia="Times New Roman" w:hAnsi="Times New Roman" w:cs="Times New Roman"/>
          <w:sz w:val="23"/>
          <w:szCs w:val="23"/>
          <w:lang w:eastAsia="tr-TR"/>
        </w:rPr>
        <w:t>olarak gerçekleşmiştir.</w:t>
      </w:r>
    </w:p>
    <w:p w:rsidR="00AB662B" w:rsidRPr="00AB662B" w:rsidRDefault="00AB662B" w:rsidP="00F0482E">
      <w:pPr>
        <w:keepNext/>
        <w:keepLines/>
        <w:spacing w:before="200" w:after="0" w:line="360" w:lineRule="auto"/>
        <w:ind w:left="426"/>
        <w:outlineLvl w:val="2"/>
        <w:rPr>
          <w:rFonts w:ascii="Arial" w:eastAsia="Times New Roman" w:hAnsi="Arial" w:cs="Arial"/>
          <w:b/>
          <w:bCs/>
        </w:rPr>
      </w:pPr>
      <w:r w:rsidRPr="00AB662B">
        <w:rPr>
          <w:rFonts w:ascii="Arial" w:eastAsia="Times New Roman" w:hAnsi="Arial" w:cs="Arial"/>
          <w:b/>
          <w:bCs/>
        </w:rPr>
        <w:t>04. Alınan Bağış ve Yardımlar</w:t>
      </w:r>
    </w:p>
    <w:p w:rsidR="00AB662B" w:rsidRPr="00AB662B" w:rsidRDefault="00AB662B" w:rsidP="00F0482E">
      <w:pPr>
        <w:spacing w:after="0" w:line="360" w:lineRule="auto"/>
        <w:jc w:val="both"/>
        <w:rPr>
          <w:rFonts w:ascii="Arial TUR" w:eastAsia="Times New Roman" w:hAnsi="Arial TUR" w:cs="Arial TUR"/>
          <w:sz w:val="20"/>
          <w:szCs w:val="20"/>
          <w:lang w:eastAsia="tr-TR"/>
        </w:rPr>
      </w:pPr>
      <w:r w:rsidRPr="00AB662B">
        <w:rPr>
          <w:rFonts w:ascii="Times New Roman" w:eastAsia="Times New Roman" w:hAnsi="Times New Roman" w:cs="Times New Roman"/>
          <w:sz w:val="24"/>
          <w:szCs w:val="24"/>
          <w:lang w:eastAsia="tr-TR"/>
        </w:rPr>
        <w:tab/>
      </w:r>
      <w:r w:rsidRPr="00AB662B">
        <w:rPr>
          <w:rFonts w:ascii="Times New Roman" w:eastAsia="Times New Roman" w:hAnsi="Times New Roman" w:cs="Times New Roman"/>
          <w:sz w:val="23"/>
          <w:szCs w:val="23"/>
          <w:lang w:eastAsia="tr-TR"/>
        </w:rPr>
        <w:t>Alınan Bağış ve Yardımlar 2018 yılı Ocak-Haziran döneminde 596.026,48</w:t>
      </w:r>
      <w:r w:rsidRPr="00AB662B">
        <w:rPr>
          <w:rFonts w:ascii="Arial TUR" w:eastAsia="Times New Roman" w:hAnsi="Arial TUR" w:cs="Arial TUR"/>
          <w:sz w:val="20"/>
          <w:szCs w:val="20"/>
          <w:lang w:eastAsia="tr-TR"/>
        </w:rPr>
        <w:t xml:space="preserve"> ₺</w:t>
      </w:r>
      <w:r w:rsidRPr="00AB662B">
        <w:rPr>
          <w:rFonts w:ascii="Times New Roman" w:eastAsia="Times New Roman" w:hAnsi="Times New Roman" w:cs="Times New Roman"/>
          <w:sz w:val="23"/>
          <w:szCs w:val="23"/>
          <w:lang w:eastAsia="tr-TR"/>
        </w:rPr>
        <w:t xml:space="preserve"> olarak gerçekleşmiştir. 2017 yılı Ocak-Haziran döneminde Alınan Bağış ve Yardımların net 1.202.378,32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r w:rsidR="005C3B22" w:rsidRPr="00AB662B">
        <w:rPr>
          <w:rFonts w:ascii="Times New Roman" w:eastAsia="Times New Roman" w:hAnsi="Times New Roman" w:cs="Times New Roman"/>
          <w:sz w:val="23"/>
          <w:szCs w:val="23"/>
          <w:lang w:eastAsia="tr-TR"/>
        </w:rPr>
        <w:t>olarak gerçekleşmiştir.</w:t>
      </w:r>
    </w:p>
    <w:p w:rsidR="00AB662B" w:rsidRPr="00AF290B" w:rsidRDefault="00AB662B" w:rsidP="00F0482E">
      <w:pPr>
        <w:keepNext/>
        <w:keepLines/>
        <w:spacing w:before="200" w:after="0" w:line="360" w:lineRule="auto"/>
        <w:ind w:left="426"/>
        <w:outlineLvl w:val="2"/>
        <w:rPr>
          <w:rFonts w:ascii="Arial" w:eastAsia="Times New Roman" w:hAnsi="Arial" w:cs="Arial"/>
          <w:b/>
          <w:bCs/>
        </w:rPr>
      </w:pPr>
      <w:r w:rsidRPr="00AB662B">
        <w:rPr>
          <w:rFonts w:ascii="Arial" w:eastAsia="Times New Roman" w:hAnsi="Arial" w:cs="Arial"/>
          <w:b/>
          <w:bCs/>
        </w:rPr>
        <w:t>05. Diğer Gelirler (Kişi ve Kurumlardan Alınan Pay</w:t>
      </w:r>
      <w:r w:rsidR="00AF290B">
        <w:rPr>
          <w:rFonts w:ascii="Arial" w:eastAsia="Times New Roman" w:hAnsi="Arial" w:cs="Arial"/>
          <w:b/>
          <w:bCs/>
        </w:rPr>
        <w:t>lar, Faizler ve Ceza Gelirleri)</w:t>
      </w:r>
    </w:p>
    <w:p w:rsidR="00AB662B" w:rsidRPr="00AB662B" w:rsidRDefault="00AB662B" w:rsidP="00F0482E">
      <w:pPr>
        <w:spacing w:after="0" w:line="360" w:lineRule="auto"/>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color w:val="FF0000"/>
          <w:sz w:val="24"/>
          <w:szCs w:val="24"/>
          <w:lang w:eastAsia="tr-TR"/>
        </w:rPr>
        <w:tab/>
      </w:r>
      <w:r w:rsidRPr="00AB662B">
        <w:rPr>
          <w:rFonts w:ascii="Times New Roman" w:eastAsia="Times New Roman" w:hAnsi="Times New Roman" w:cs="Times New Roman"/>
          <w:sz w:val="23"/>
          <w:szCs w:val="23"/>
          <w:lang w:eastAsia="tr-TR"/>
        </w:rPr>
        <w:t>Toplam gelirler içinde</w:t>
      </w:r>
      <w:r w:rsidR="00A44306">
        <w:rPr>
          <w:rFonts w:ascii="Times New Roman" w:eastAsia="Times New Roman" w:hAnsi="Times New Roman" w:cs="Times New Roman"/>
          <w:sz w:val="23"/>
          <w:szCs w:val="23"/>
          <w:lang w:eastAsia="tr-TR"/>
        </w:rPr>
        <w:t>ki</w:t>
      </w:r>
      <w:r w:rsidRPr="00AB662B">
        <w:rPr>
          <w:rFonts w:ascii="Times New Roman" w:eastAsia="Times New Roman" w:hAnsi="Times New Roman" w:cs="Times New Roman"/>
          <w:sz w:val="23"/>
          <w:szCs w:val="23"/>
          <w:lang w:eastAsia="tr-TR"/>
        </w:rPr>
        <w:t xml:space="preserve"> en önemli payı</w:t>
      </w:r>
      <w:r w:rsidR="00A44306">
        <w:rPr>
          <w:rFonts w:ascii="Times New Roman" w:eastAsia="Times New Roman" w:hAnsi="Times New Roman" w:cs="Times New Roman"/>
          <w:sz w:val="23"/>
          <w:szCs w:val="23"/>
          <w:lang w:eastAsia="tr-TR"/>
        </w:rPr>
        <w:t>;</w:t>
      </w:r>
      <w:r w:rsidRPr="00AB662B">
        <w:rPr>
          <w:rFonts w:ascii="Times New Roman" w:eastAsia="Times New Roman" w:hAnsi="Times New Roman" w:cs="Times New Roman"/>
          <w:sz w:val="23"/>
          <w:szCs w:val="23"/>
          <w:lang w:eastAsia="tr-TR"/>
        </w:rPr>
        <w:t xml:space="preserve"> </w:t>
      </w:r>
      <w:r w:rsidR="00A44306" w:rsidRPr="00AB662B">
        <w:rPr>
          <w:rFonts w:ascii="Times New Roman" w:eastAsia="Times New Roman" w:hAnsi="Times New Roman" w:cs="Times New Roman"/>
          <w:sz w:val="23"/>
          <w:szCs w:val="23"/>
          <w:lang w:eastAsia="tr-TR"/>
        </w:rPr>
        <w:t>Ceza Gelirleri</w:t>
      </w:r>
      <w:r w:rsidR="00A44306">
        <w:rPr>
          <w:rFonts w:ascii="Times New Roman" w:eastAsia="Times New Roman" w:hAnsi="Times New Roman" w:cs="Times New Roman"/>
          <w:sz w:val="23"/>
          <w:szCs w:val="23"/>
          <w:lang w:eastAsia="tr-TR"/>
        </w:rPr>
        <w:t xml:space="preserve">, </w:t>
      </w:r>
      <w:proofErr w:type="gramStart"/>
      <w:r w:rsidRPr="00AB662B">
        <w:rPr>
          <w:rFonts w:ascii="Times New Roman" w:eastAsia="Times New Roman" w:hAnsi="Times New Roman" w:cs="Times New Roman"/>
          <w:sz w:val="23"/>
          <w:szCs w:val="23"/>
          <w:lang w:eastAsia="tr-TR"/>
        </w:rPr>
        <w:t>Paylar,</w:t>
      </w:r>
      <w:proofErr w:type="gramEnd"/>
      <w:r w:rsidRPr="00AB662B">
        <w:rPr>
          <w:rFonts w:ascii="Times New Roman" w:eastAsia="Times New Roman" w:hAnsi="Times New Roman" w:cs="Times New Roman"/>
          <w:sz w:val="23"/>
          <w:szCs w:val="23"/>
          <w:lang w:eastAsia="tr-TR"/>
        </w:rPr>
        <w:t xml:space="preserve"> </w:t>
      </w:r>
      <w:r w:rsidR="00A44306">
        <w:rPr>
          <w:rFonts w:ascii="Times New Roman" w:eastAsia="Times New Roman" w:hAnsi="Times New Roman" w:cs="Times New Roman"/>
          <w:sz w:val="23"/>
          <w:szCs w:val="23"/>
          <w:lang w:eastAsia="tr-TR"/>
        </w:rPr>
        <w:t xml:space="preserve">ve </w:t>
      </w:r>
      <w:r w:rsidR="00A44306" w:rsidRPr="00AB662B">
        <w:rPr>
          <w:rFonts w:ascii="Times New Roman" w:eastAsia="Times New Roman" w:hAnsi="Times New Roman" w:cs="Times New Roman"/>
          <w:sz w:val="23"/>
          <w:szCs w:val="23"/>
          <w:lang w:eastAsia="tr-TR"/>
        </w:rPr>
        <w:t xml:space="preserve">Faizlerden </w:t>
      </w:r>
      <w:r w:rsidRPr="00AB662B">
        <w:rPr>
          <w:rFonts w:ascii="Times New Roman" w:eastAsia="Times New Roman" w:hAnsi="Times New Roman" w:cs="Times New Roman"/>
          <w:sz w:val="23"/>
          <w:szCs w:val="23"/>
          <w:lang w:eastAsia="tr-TR"/>
        </w:rPr>
        <w:t xml:space="preserve">oluşan Diğer Gelirler kalemi oluşturmaktadır. 2018 yılı Ocak-Haziran döneminde Diğer Gelirler </w:t>
      </w:r>
      <w:r w:rsidR="007D2244">
        <w:rPr>
          <w:rFonts w:ascii="Times New Roman" w:eastAsia="Times New Roman" w:hAnsi="Times New Roman" w:cs="Times New Roman"/>
          <w:sz w:val="23"/>
          <w:szCs w:val="23"/>
          <w:lang w:eastAsia="tr-TR"/>
        </w:rPr>
        <w:t>43.705.807,02</w:t>
      </w:r>
      <w:r w:rsidR="00A44306">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gerçekleşmiştir. 2017 yılı Ocak-Haziran döneminde ise 37.545.336,46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gelir gerçekleşmiştir. Diğer Gelirler başlığının toplam bütçe gelirleri içinde en önemli yere sahip olmasının sebebi, genel bütçe vergi gelirlerinden aktarılan payların, Kişi ve Kurumlardan Alınan Paylar başlığı altında bu bölümde yer almasıdır</w:t>
      </w:r>
      <w:r w:rsidRPr="00AB662B">
        <w:rPr>
          <w:rFonts w:ascii="Times New Roman" w:eastAsia="Times New Roman" w:hAnsi="Times New Roman" w:cs="Times New Roman"/>
          <w:color w:val="FF0000"/>
          <w:sz w:val="23"/>
          <w:szCs w:val="23"/>
          <w:lang w:eastAsia="tr-TR"/>
        </w:rPr>
        <w:t xml:space="preserve">. </w:t>
      </w:r>
      <w:r w:rsidRPr="00AB662B">
        <w:rPr>
          <w:rFonts w:ascii="Times New Roman" w:eastAsia="Times New Roman" w:hAnsi="Times New Roman" w:cs="Times New Roman"/>
          <w:sz w:val="23"/>
          <w:szCs w:val="23"/>
          <w:lang w:eastAsia="tr-TR"/>
        </w:rPr>
        <w:t>Ocak-</w:t>
      </w:r>
      <w:r w:rsidRPr="00AB662B">
        <w:rPr>
          <w:rFonts w:ascii="Times New Roman" w:eastAsia="Times New Roman" w:hAnsi="Times New Roman" w:cs="Times New Roman"/>
          <w:sz w:val="23"/>
          <w:szCs w:val="23"/>
          <w:lang w:eastAsia="tr-TR"/>
        </w:rPr>
        <w:lastRenderedPageBreak/>
        <w:t>Haziran 2018 döneminde Merkezi İdare Vergi Gelirlerinden Alınan Paylar 3</w:t>
      </w:r>
      <w:r w:rsidR="00772CC3">
        <w:rPr>
          <w:rFonts w:ascii="Times New Roman" w:eastAsia="Times New Roman" w:hAnsi="Times New Roman" w:cs="Times New Roman"/>
          <w:sz w:val="23"/>
          <w:szCs w:val="23"/>
          <w:lang w:eastAsia="tr-TR"/>
        </w:rPr>
        <w:t>7</w:t>
      </w:r>
      <w:r w:rsidRPr="00AB662B">
        <w:rPr>
          <w:rFonts w:ascii="Times New Roman" w:eastAsia="Times New Roman" w:hAnsi="Times New Roman" w:cs="Times New Roman"/>
          <w:sz w:val="23"/>
          <w:szCs w:val="23"/>
          <w:lang w:eastAsia="tr-TR"/>
        </w:rPr>
        <w:t>.9</w:t>
      </w:r>
      <w:r w:rsidR="00772CC3">
        <w:rPr>
          <w:rFonts w:ascii="Times New Roman" w:eastAsia="Times New Roman" w:hAnsi="Times New Roman" w:cs="Times New Roman"/>
          <w:sz w:val="23"/>
          <w:szCs w:val="23"/>
          <w:lang w:eastAsia="tr-TR"/>
        </w:rPr>
        <w:t>30</w:t>
      </w:r>
      <w:r w:rsidRPr="00AB662B">
        <w:rPr>
          <w:rFonts w:ascii="Times New Roman" w:eastAsia="Times New Roman" w:hAnsi="Times New Roman" w:cs="Times New Roman"/>
          <w:sz w:val="23"/>
          <w:szCs w:val="23"/>
          <w:lang w:eastAsia="tr-TR"/>
        </w:rPr>
        <w:t>.</w:t>
      </w:r>
      <w:r w:rsidR="00772CC3">
        <w:rPr>
          <w:rFonts w:ascii="Times New Roman" w:eastAsia="Times New Roman" w:hAnsi="Times New Roman" w:cs="Times New Roman"/>
          <w:sz w:val="23"/>
          <w:szCs w:val="23"/>
          <w:lang w:eastAsia="tr-TR"/>
        </w:rPr>
        <w:t>070</w:t>
      </w:r>
      <w:r w:rsidRPr="00AB662B">
        <w:rPr>
          <w:rFonts w:ascii="Times New Roman" w:eastAsia="Times New Roman" w:hAnsi="Times New Roman" w:cs="Times New Roman"/>
          <w:sz w:val="23"/>
          <w:szCs w:val="23"/>
          <w:lang w:eastAsia="tr-TR"/>
        </w:rPr>
        <w:t>,2</w:t>
      </w:r>
      <w:r w:rsidR="00772CC3">
        <w:rPr>
          <w:rFonts w:ascii="Times New Roman" w:eastAsia="Times New Roman" w:hAnsi="Times New Roman" w:cs="Times New Roman"/>
          <w:sz w:val="23"/>
          <w:szCs w:val="23"/>
          <w:lang w:eastAsia="tr-TR"/>
        </w:rPr>
        <w:t>8</w:t>
      </w:r>
      <w:r w:rsidRPr="00AB662B">
        <w:rPr>
          <w:rFonts w:ascii="Times New Roman" w:eastAsia="Times New Roman" w:hAnsi="Times New Roman" w:cs="Times New Roman"/>
          <w:sz w:val="24"/>
          <w:szCs w:val="24"/>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olarak gerçekleşerek, toplam gelirlerin % </w:t>
      </w:r>
      <w:r w:rsidR="00772CC3">
        <w:rPr>
          <w:rFonts w:ascii="Times New Roman" w:eastAsia="Times New Roman" w:hAnsi="Times New Roman" w:cs="Times New Roman"/>
          <w:sz w:val="23"/>
          <w:szCs w:val="23"/>
          <w:lang w:eastAsia="tr-TR"/>
        </w:rPr>
        <w:t>43</w:t>
      </w:r>
      <w:r w:rsidRPr="00AB662B">
        <w:rPr>
          <w:rFonts w:ascii="Times New Roman" w:eastAsia="Times New Roman" w:hAnsi="Times New Roman" w:cs="Times New Roman"/>
          <w:sz w:val="23"/>
          <w:szCs w:val="23"/>
          <w:lang w:eastAsia="tr-TR"/>
        </w:rPr>
        <w:t>,</w:t>
      </w:r>
      <w:r w:rsidR="00772CC3">
        <w:rPr>
          <w:rFonts w:ascii="Times New Roman" w:eastAsia="Times New Roman" w:hAnsi="Times New Roman" w:cs="Times New Roman"/>
          <w:sz w:val="23"/>
          <w:szCs w:val="23"/>
          <w:lang w:eastAsia="tr-TR"/>
        </w:rPr>
        <w:t>50</w:t>
      </w:r>
      <w:r w:rsidRPr="00AB662B">
        <w:rPr>
          <w:rFonts w:ascii="Times New Roman" w:eastAsia="Times New Roman" w:hAnsi="Times New Roman" w:cs="Times New Roman"/>
          <w:sz w:val="23"/>
          <w:szCs w:val="23"/>
          <w:lang w:eastAsia="tr-TR"/>
        </w:rPr>
        <w:t>’</w:t>
      </w:r>
      <w:r w:rsidR="00772CC3">
        <w:rPr>
          <w:rFonts w:ascii="Times New Roman" w:eastAsia="Times New Roman" w:hAnsi="Times New Roman" w:cs="Times New Roman"/>
          <w:sz w:val="23"/>
          <w:szCs w:val="23"/>
          <w:lang w:eastAsia="tr-TR"/>
        </w:rPr>
        <w:t>sini</w:t>
      </w:r>
      <w:r w:rsidRPr="00AB662B">
        <w:rPr>
          <w:rFonts w:ascii="Times New Roman" w:eastAsia="Times New Roman" w:hAnsi="Times New Roman" w:cs="Times New Roman"/>
          <w:sz w:val="23"/>
          <w:szCs w:val="23"/>
          <w:lang w:eastAsia="tr-TR"/>
        </w:rPr>
        <w:t xml:space="preserve"> oluşturmuştur. 2017 yılı Ocak Haziran döneminde Merkezi İdare Vergi Gelirlerinden Alınan Payın 32.229.145,53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w:t>
      </w:r>
      <w:r w:rsidR="00485C98">
        <w:rPr>
          <w:rFonts w:ascii="Times New Roman" w:eastAsia="Times New Roman" w:hAnsi="Times New Roman" w:cs="Times New Roman"/>
          <w:sz w:val="23"/>
          <w:szCs w:val="23"/>
          <w:lang w:eastAsia="tr-TR"/>
        </w:rPr>
        <w:t>olarak gerçekleşmiştir.</w:t>
      </w:r>
    </w:p>
    <w:p w:rsidR="00AB662B" w:rsidRPr="00F0482E" w:rsidRDefault="00AB662B" w:rsidP="00F0482E">
      <w:pPr>
        <w:keepNext/>
        <w:keepLines/>
        <w:spacing w:before="480" w:after="0" w:line="360" w:lineRule="auto"/>
        <w:jc w:val="center"/>
        <w:outlineLvl w:val="0"/>
        <w:rPr>
          <w:rFonts w:ascii="Times New Roman" w:eastAsia="Times New Roman" w:hAnsi="Times New Roman" w:cs="Times New Roman"/>
          <w:b/>
          <w:bCs/>
          <w:sz w:val="24"/>
          <w:szCs w:val="23"/>
        </w:rPr>
      </w:pPr>
      <w:r w:rsidRPr="00AB662B">
        <w:rPr>
          <w:rFonts w:ascii="Times New Roman" w:eastAsia="Times New Roman" w:hAnsi="Times New Roman" w:cs="Times New Roman"/>
          <w:b/>
          <w:bCs/>
          <w:sz w:val="24"/>
          <w:szCs w:val="23"/>
          <w:highlight w:val="lightGray"/>
        </w:rPr>
        <w:t>II. 2018 YILI I. (OCAK-HAZİRAN) DÖNEMİNDE YÜRÜTÜLEN FAALİYETLER</w:t>
      </w:r>
    </w:p>
    <w:p w:rsidR="00AB662B" w:rsidRPr="00AB662B" w:rsidRDefault="00AB662B" w:rsidP="00F0482E">
      <w:pPr>
        <w:spacing w:after="0" w:line="360" w:lineRule="auto"/>
        <w:jc w:val="both"/>
        <w:rPr>
          <w:rFonts w:ascii="Times New Roman" w:eastAsia="Times New Roman" w:hAnsi="Times New Roman" w:cs="Times New Roman"/>
          <w:bCs/>
          <w:sz w:val="23"/>
          <w:szCs w:val="23"/>
          <w:lang w:eastAsia="tr-TR"/>
        </w:rPr>
      </w:pPr>
      <w:r w:rsidRPr="00AB662B">
        <w:rPr>
          <w:rFonts w:ascii="Times New Roman" w:eastAsia="Times New Roman" w:hAnsi="Times New Roman" w:cs="Times New Roman"/>
          <w:sz w:val="23"/>
          <w:szCs w:val="23"/>
          <w:lang w:eastAsia="tr-TR"/>
        </w:rPr>
        <w:tab/>
      </w:r>
      <w:r w:rsidRPr="00AB662B">
        <w:rPr>
          <w:rFonts w:ascii="Times New Roman" w:eastAsia="Times New Roman" w:hAnsi="Times New Roman" w:cs="Times New Roman"/>
          <w:lang w:eastAsia="tr-TR"/>
        </w:rPr>
        <w:t>252.000.000,00</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olan 2018 yılı bütçemizde Mal ve Hizmet Alım Giderleri kalemine</w:t>
      </w:r>
      <w:r w:rsidRPr="00AB662B">
        <w:rPr>
          <w:rFonts w:ascii="Times New Roman" w:eastAsia="Times New Roman" w:hAnsi="Times New Roman" w:cs="Times New Roman"/>
          <w:bCs/>
          <w:sz w:val="23"/>
          <w:szCs w:val="23"/>
          <w:lang w:eastAsia="tr-TR"/>
        </w:rPr>
        <w:t xml:space="preserve"> </w:t>
      </w:r>
      <w:r w:rsidRPr="00AB662B">
        <w:rPr>
          <w:rFonts w:ascii="Times New Roman" w:eastAsia="Times New Roman" w:hAnsi="Times New Roman" w:cs="Times New Roman"/>
          <w:bCs/>
          <w:sz w:val="20"/>
          <w:szCs w:val="20"/>
          <w:lang w:eastAsia="tr-TR"/>
        </w:rPr>
        <w:t>129.387.000,00</w:t>
      </w:r>
      <w:r w:rsidRPr="00AB662B">
        <w:rPr>
          <w:rFonts w:ascii="Times New Roman" w:eastAsia="Times New Roman" w:hAnsi="Times New Roman" w:cs="Times New Roman"/>
          <w:bCs/>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ödenek konulmak suretiyle İlçemiz halkının yaşam kalitesini yükseltecek faaliyetlerde kullanılmakta, ilgili hizmet alımları yapılmak suretiyle Vatandaş Memnuniyeti hedeflenmektedir.</w:t>
      </w:r>
    </w:p>
    <w:p w:rsidR="00AB662B" w:rsidRPr="00AB662B" w:rsidRDefault="00AB662B" w:rsidP="00F0482E">
      <w:pPr>
        <w:tabs>
          <w:tab w:val="left" w:pos="4320"/>
        </w:tabs>
        <w:spacing w:after="0" w:line="360" w:lineRule="auto"/>
        <w:ind w:firstLine="709"/>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İlçemize yeni park ve oyun alanlarının kazandırılması, daha önceden yapılan park ve bahçelerin bakım ve düzenlenmesi, yeni ağaçlandırma ve yeşillendirme çalışmaları, ana arter, meydan ve yolların temizliği, atıkların taşınması ile Sultanbeyli halkına temiz ve güzel bir çevrede yaşama imkanı sunulmaktadır.</w:t>
      </w:r>
    </w:p>
    <w:p w:rsidR="00AB662B" w:rsidRPr="00AB662B" w:rsidRDefault="00AB662B" w:rsidP="00F0482E">
      <w:pPr>
        <w:spacing w:after="0" w:line="360" w:lineRule="auto"/>
        <w:jc w:val="both"/>
        <w:rPr>
          <w:rFonts w:ascii="Times New Roman" w:eastAsia="Times New Roman" w:hAnsi="Times New Roman" w:cs="Times New Roman"/>
          <w:bCs/>
          <w:sz w:val="23"/>
          <w:szCs w:val="23"/>
          <w:lang w:eastAsia="tr-TR"/>
        </w:rPr>
      </w:pPr>
      <w:r w:rsidRPr="00AB662B">
        <w:rPr>
          <w:rFonts w:ascii="Times New Roman" w:eastAsia="Times New Roman" w:hAnsi="Times New Roman" w:cs="Times New Roman"/>
          <w:sz w:val="23"/>
          <w:szCs w:val="23"/>
          <w:lang w:eastAsia="tr-TR"/>
        </w:rPr>
        <w:tab/>
        <w:t xml:space="preserve">Yine bütçede 2018 yılı bütçemizde </w:t>
      </w:r>
      <w:r w:rsidRPr="00AB662B">
        <w:rPr>
          <w:rFonts w:ascii="Times New Roman" w:eastAsia="Times New Roman" w:hAnsi="Times New Roman" w:cs="Times New Roman"/>
          <w:bCs/>
          <w:sz w:val="23"/>
          <w:szCs w:val="23"/>
          <w:lang w:eastAsia="tr-TR"/>
        </w:rPr>
        <w:t>57.563.000,00</w:t>
      </w:r>
      <w:r w:rsidRPr="00AB662B">
        <w:rPr>
          <w:rFonts w:ascii="Times New Roman" w:eastAsia="Times New Roman" w:hAnsi="Times New Roman" w:cs="Times New Roman"/>
          <w:sz w:val="23"/>
          <w:szCs w:val="23"/>
          <w:lang w:eastAsia="tr-TR"/>
        </w:rPr>
        <w:t xml:space="preserve">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3"/>
          <w:szCs w:val="23"/>
          <w:lang w:eastAsia="tr-TR"/>
        </w:rPr>
        <w:t xml:space="preserve"> sermaye giderlerine ödenek konularak Belediyemizin 2018 yılı bütçesinin önemli bir kısmı 2017 yılında olduğu gibi yatırımlara ayrılmıştır. Yol yapımları, yol bakım onarım ve asfaltlamaları gibi alt yapı faaliyetlerine büyük önem vererek büyük yatırımlara imza atılmış olup, ilçemizde alt yapısını tamamlama gayreti içerisinde olup, yolların asfaltlama çalışmalarını ise hızla devam etmektedir. </w:t>
      </w:r>
    </w:p>
    <w:p w:rsidR="00AB662B" w:rsidRDefault="00AB662B" w:rsidP="00F0482E">
      <w:pPr>
        <w:tabs>
          <w:tab w:val="left" w:pos="4320"/>
        </w:tabs>
        <w:spacing w:after="0" w:line="360" w:lineRule="auto"/>
        <w:ind w:firstLine="709"/>
        <w:jc w:val="both"/>
        <w:rPr>
          <w:rFonts w:ascii="Times New Roman" w:eastAsia="Times New Roman" w:hAnsi="Times New Roman" w:cs="Times New Roman"/>
          <w:sz w:val="23"/>
          <w:szCs w:val="23"/>
          <w:lang w:eastAsia="tr-TR"/>
        </w:rPr>
      </w:pPr>
      <w:r w:rsidRPr="00AB662B">
        <w:rPr>
          <w:rFonts w:ascii="Times New Roman" w:eastAsia="Times New Roman" w:hAnsi="Times New Roman" w:cs="Times New Roman"/>
          <w:sz w:val="23"/>
          <w:szCs w:val="23"/>
          <w:lang w:eastAsia="tr-TR"/>
        </w:rPr>
        <w:t xml:space="preserve">Ayrıca sadece yatırımlarımızla değil sosyal, kültürel, eğitim, temizlik, çevre vb. alanlarda da halkımız için büyük önem taşıyan hizmetlerimizle sürekli olarak halkımızın refah seviyesini yükseltmekteyiz. Düzenlediğimiz; uluslararası organizasyonlar, kültürel varlıklarımızın ortaya çıkarılması ile ilgili çalışmalar (Aydos kalesi), sergiler, seminerler, </w:t>
      </w:r>
      <w:proofErr w:type="gramStart"/>
      <w:r w:rsidRPr="00AB662B">
        <w:rPr>
          <w:rFonts w:ascii="Times New Roman" w:eastAsia="Times New Roman" w:hAnsi="Times New Roman" w:cs="Times New Roman"/>
          <w:sz w:val="23"/>
          <w:szCs w:val="23"/>
          <w:lang w:eastAsia="tr-TR"/>
        </w:rPr>
        <w:t>sempozyumlar</w:t>
      </w:r>
      <w:proofErr w:type="gramEnd"/>
      <w:r w:rsidRPr="00AB662B">
        <w:rPr>
          <w:rFonts w:ascii="Times New Roman" w:eastAsia="Times New Roman" w:hAnsi="Times New Roman" w:cs="Times New Roman"/>
          <w:sz w:val="23"/>
          <w:szCs w:val="23"/>
          <w:lang w:eastAsia="tr-TR"/>
        </w:rPr>
        <w:t>, panel-konferans, sinema gösterimleri vb. faaliyetler halkımızın yoğun ilgisini çekmiştir.</w:t>
      </w:r>
    </w:p>
    <w:p w:rsidR="00485C98" w:rsidRPr="00AB662B" w:rsidRDefault="00485C98" w:rsidP="00F0482E">
      <w:pPr>
        <w:tabs>
          <w:tab w:val="left" w:pos="4320"/>
        </w:tabs>
        <w:spacing w:after="0" w:line="360" w:lineRule="auto"/>
        <w:ind w:firstLine="709"/>
        <w:jc w:val="both"/>
        <w:rPr>
          <w:rFonts w:ascii="Times New Roman" w:eastAsia="Times New Roman" w:hAnsi="Times New Roman" w:cs="Times New Roman"/>
          <w:sz w:val="23"/>
          <w:szCs w:val="23"/>
          <w:lang w:eastAsia="tr-TR"/>
        </w:rPr>
      </w:pPr>
    </w:p>
    <w:p w:rsidR="00AB662B" w:rsidRPr="00F0482E" w:rsidRDefault="00AB662B" w:rsidP="00F0482E">
      <w:pPr>
        <w:tabs>
          <w:tab w:val="left" w:pos="4320"/>
        </w:tabs>
        <w:spacing w:after="0" w:line="360" w:lineRule="auto"/>
        <w:ind w:firstLine="709"/>
        <w:jc w:val="center"/>
        <w:rPr>
          <w:rFonts w:ascii="Times New Roman" w:eastAsia="Times New Roman" w:hAnsi="Times New Roman" w:cs="Times New Roman"/>
          <w:b/>
          <w:sz w:val="24"/>
          <w:szCs w:val="24"/>
          <w:lang w:eastAsia="tr-TR"/>
        </w:rPr>
      </w:pPr>
      <w:r w:rsidRPr="00AB662B">
        <w:rPr>
          <w:rFonts w:ascii="Times New Roman" w:eastAsia="Times New Roman" w:hAnsi="Times New Roman" w:cs="Times New Roman"/>
          <w:b/>
          <w:sz w:val="24"/>
          <w:szCs w:val="24"/>
          <w:highlight w:val="lightGray"/>
          <w:lang w:eastAsia="tr-TR"/>
        </w:rPr>
        <w:t>III. 2018 YILI II. (TEMMUZ-ARALIK) DÖNEMİNE İLİŞKİN BEKLENTİLER VE HEDEFLER</w:t>
      </w:r>
    </w:p>
    <w:p w:rsidR="00AB662B" w:rsidRPr="00F0482E" w:rsidRDefault="00AB662B" w:rsidP="00F0482E">
      <w:pPr>
        <w:keepNext/>
        <w:keepLines/>
        <w:numPr>
          <w:ilvl w:val="0"/>
          <w:numId w:val="1"/>
        </w:numPr>
        <w:spacing w:before="200" w:after="0" w:line="360" w:lineRule="auto"/>
        <w:outlineLvl w:val="1"/>
        <w:rPr>
          <w:rFonts w:ascii="Arial" w:eastAsia="Times New Roman" w:hAnsi="Arial" w:cs="Arial"/>
          <w:b/>
          <w:bCs/>
          <w:sz w:val="26"/>
          <w:szCs w:val="26"/>
        </w:rPr>
      </w:pPr>
      <w:r w:rsidRPr="00AB662B">
        <w:rPr>
          <w:rFonts w:ascii="Arial" w:eastAsia="Times New Roman" w:hAnsi="Arial" w:cs="Arial"/>
          <w:b/>
          <w:bCs/>
          <w:sz w:val="26"/>
          <w:szCs w:val="26"/>
        </w:rPr>
        <w:t>Bütçe Giderleri</w:t>
      </w:r>
    </w:p>
    <w:p w:rsidR="00AB662B" w:rsidRPr="00AB662B" w:rsidRDefault="00AB662B" w:rsidP="00F0482E">
      <w:pPr>
        <w:spacing w:after="120" w:line="360" w:lineRule="auto"/>
        <w:ind w:firstLine="540"/>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Sultanbeyli Belediyesi 2018 yılı gider bütçesinde 252.000.000,00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4"/>
          <w:szCs w:val="24"/>
          <w:lang w:eastAsia="tr-TR"/>
        </w:rPr>
        <w:t xml:space="preserve"> olarak öngörülen ödeneklerin tamamına yakının yılsonuna kadar kullanılacağı tahmin edilmektedir. </w:t>
      </w:r>
    </w:p>
    <w:p w:rsidR="00AB662B" w:rsidRPr="00AB662B" w:rsidRDefault="00AB662B" w:rsidP="00F0482E">
      <w:pPr>
        <w:spacing w:after="120" w:line="360" w:lineRule="auto"/>
        <w:ind w:firstLine="540"/>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Geçmiş yıllar gider bütçe gerçekleşmeleri incelendiğinde ilk altı aylık dönemde ödeneklerin % 30 ile % 50 arasında değişen oranlarda kullanıldığı ikinci altı aylık dönemde de kalan % 60 ile 100 arasında değişen oranlarda kullanıldığı görülmektedir. </w:t>
      </w:r>
    </w:p>
    <w:p w:rsidR="00AB662B" w:rsidRPr="00F0482E" w:rsidRDefault="00AB662B" w:rsidP="00F0482E">
      <w:pPr>
        <w:spacing w:after="0" w:line="360" w:lineRule="auto"/>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color w:val="FF0000"/>
          <w:sz w:val="24"/>
          <w:szCs w:val="24"/>
          <w:lang w:eastAsia="tr-TR"/>
        </w:rPr>
        <w:tab/>
      </w:r>
      <w:proofErr w:type="gramStart"/>
      <w:r w:rsidRPr="00AB662B">
        <w:rPr>
          <w:rFonts w:ascii="Times New Roman" w:eastAsia="Times New Roman" w:hAnsi="Times New Roman" w:cs="Times New Roman"/>
          <w:sz w:val="24"/>
          <w:szCs w:val="24"/>
          <w:lang w:eastAsia="tr-TR"/>
        </w:rPr>
        <w:t xml:space="preserve">2018 yılı sonu itibarıyla gider tahminlerimizde; geçmiş yıllardaki gider gerçekleşme eğilimleri, 2017 ve 2018 yılı sonu gider gerçekleşme oranlarımız, ilk altı aydaki gider gerçekleşme ve gelir gerçekleşme oranlarımız, yatırım ve hizmetlerimizin ilk altı aylık dönemdeki performansı ve sonraki altı </w:t>
      </w:r>
      <w:r w:rsidRPr="00AB662B">
        <w:rPr>
          <w:rFonts w:ascii="Times New Roman" w:eastAsia="Times New Roman" w:hAnsi="Times New Roman" w:cs="Times New Roman"/>
          <w:sz w:val="24"/>
          <w:szCs w:val="24"/>
          <w:lang w:eastAsia="tr-TR"/>
        </w:rPr>
        <w:lastRenderedPageBreak/>
        <w:t>ayda bitirilmesi veya hızlandırılması düşünülen yatırımlarımızın giderlerimiz üzerindeki olası etkisi dikkate a</w:t>
      </w:r>
      <w:r w:rsidR="00F0482E">
        <w:rPr>
          <w:rFonts w:ascii="Times New Roman" w:eastAsia="Times New Roman" w:hAnsi="Times New Roman" w:cs="Times New Roman"/>
          <w:sz w:val="24"/>
          <w:szCs w:val="24"/>
          <w:lang w:eastAsia="tr-TR"/>
        </w:rPr>
        <w:t>lınarak yapılmıştır.</w:t>
      </w:r>
      <w:proofErr w:type="gramEnd"/>
    </w:p>
    <w:p w:rsidR="00AB662B" w:rsidRPr="00F0482E" w:rsidRDefault="00AB662B" w:rsidP="00F0482E">
      <w:pPr>
        <w:keepNext/>
        <w:keepLines/>
        <w:numPr>
          <w:ilvl w:val="0"/>
          <w:numId w:val="1"/>
        </w:numPr>
        <w:spacing w:before="200" w:after="0" w:line="360" w:lineRule="auto"/>
        <w:outlineLvl w:val="1"/>
        <w:rPr>
          <w:rFonts w:ascii="Arial" w:eastAsia="Times New Roman" w:hAnsi="Arial" w:cs="Arial"/>
          <w:b/>
          <w:bCs/>
          <w:sz w:val="26"/>
          <w:szCs w:val="26"/>
        </w:rPr>
      </w:pPr>
      <w:r w:rsidRPr="00AB662B">
        <w:rPr>
          <w:rFonts w:ascii="Arial" w:eastAsia="Times New Roman" w:hAnsi="Arial" w:cs="Arial"/>
          <w:b/>
          <w:bCs/>
          <w:sz w:val="26"/>
          <w:szCs w:val="26"/>
        </w:rPr>
        <w:t>Bütçe Gelirleri</w:t>
      </w:r>
    </w:p>
    <w:p w:rsidR="00AB662B" w:rsidRPr="00AB662B" w:rsidRDefault="00AB662B" w:rsidP="00F0482E">
      <w:pPr>
        <w:spacing w:after="0" w:line="360"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2018 yılı bütçesinde 252.000.000,00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4"/>
          <w:szCs w:val="24"/>
          <w:lang w:eastAsia="tr-TR"/>
        </w:rPr>
        <w:t xml:space="preserve"> olarak hedeflenen Sultanbeyli Belediyesi gelirlerinin tamamına yakın</w:t>
      </w:r>
      <w:r w:rsidRPr="00AB662B">
        <w:rPr>
          <w:rFonts w:ascii="Times New Roman" w:eastAsia="Times New Roman" w:hAnsi="Times New Roman" w:cs="Times New Roman"/>
          <w:sz w:val="24"/>
          <w:szCs w:val="20"/>
          <w:lang w:eastAsia="tr-TR"/>
        </w:rPr>
        <w:t xml:space="preserve"> kısmının</w:t>
      </w:r>
      <w:r w:rsidRPr="00AB662B">
        <w:rPr>
          <w:rFonts w:ascii="Arial TUR" w:eastAsia="Times New Roman" w:hAnsi="Arial TUR" w:cs="Arial TUR"/>
          <w:sz w:val="24"/>
          <w:szCs w:val="20"/>
          <w:lang w:eastAsia="tr-TR"/>
        </w:rPr>
        <w:t xml:space="preserve"> </w:t>
      </w:r>
      <w:r w:rsidRPr="00AB662B">
        <w:rPr>
          <w:rFonts w:ascii="Times New Roman" w:eastAsia="Times New Roman" w:hAnsi="Times New Roman" w:cs="Times New Roman"/>
          <w:sz w:val="24"/>
          <w:szCs w:val="24"/>
          <w:lang w:eastAsia="tr-TR"/>
        </w:rPr>
        <w:t>gerçekleşeceği öngörülmektedir. Toplam gelirlerimiz içinde en önemli payı oluşturan 5779 sayılı İl Özel İdarelerine ve Belediyelere Genel Bütçe Vergi Gelirlerinden Pay verilmesi Hakkında kanunla sağladığımız gelirlere ilişkin bütçe hedefi 8</w:t>
      </w:r>
      <w:r w:rsidR="00E4429F">
        <w:rPr>
          <w:rFonts w:ascii="Times New Roman" w:eastAsia="Times New Roman" w:hAnsi="Times New Roman" w:cs="Times New Roman"/>
          <w:sz w:val="24"/>
          <w:szCs w:val="24"/>
          <w:lang w:eastAsia="tr-TR"/>
        </w:rPr>
        <w:t>9</w:t>
      </w:r>
      <w:r w:rsidRPr="00AB662B">
        <w:rPr>
          <w:rFonts w:ascii="Times New Roman" w:eastAsia="Times New Roman" w:hAnsi="Times New Roman" w:cs="Times New Roman"/>
          <w:sz w:val="24"/>
          <w:szCs w:val="24"/>
          <w:lang w:eastAsia="tr-TR"/>
        </w:rPr>
        <w:t>.</w:t>
      </w:r>
      <w:r w:rsidR="00E4429F">
        <w:rPr>
          <w:rFonts w:ascii="Times New Roman" w:eastAsia="Times New Roman" w:hAnsi="Times New Roman" w:cs="Times New Roman"/>
          <w:sz w:val="24"/>
          <w:szCs w:val="24"/>
          <w:lang w:eastAsia="tr-TR"/>
        </w:rPr>
        <w:t>164</w:t>
      </w:r>
      <w:r w:rsidRPr="00AB662B">
        <w:rPr>
          <w:rFonts w:ascii="Times New Roman" w:eastAsia="Times New Roman" w:hAnsi="Times New Roman" w:cs="Times New Roman"/>
          <w:sz w:val="24"/>
          <w:szCs w:val="24"/>
          <w:lang w:eastAsia="tr-TR"/>
        </w:rPr>
        <w:t xml:space="preserve">.000,00 </w:t>
      </w:r>
      <w:r w:rsidRPr="00AB662B">
        <w:rPr>
          <w:rFonts w:ascii="Arial TUR" w:eastAsia="Times New Roman" w:hAnsi="Arial TUR" w:cs="Arial TUR"/>
          <w:sz w:val="20"/>
          <w:szCs w:val="20"/>
          <w:lang w:eastAsia="tr-TR"/>
        </w:rPr>
        <w:t>₺</w:t>
      </w:r>
      <w:r w:rsidRPr="00AB662B">
        <w:rPr>
          <w:rFonts w:ascii="Times New Roman" w:eastAsia="Times New Roman" w:hAnsi="Times New Roman" w:cs="Times New Roman"/>
          <w:sz w:val="24"/>
          <w:szCs w:val="24"/>
          <w:lang w:eastAsia="tr-TR"/>
        </w:rPr>
        <w:t xml:space="preserve"> iken </w:t>
      </w:r>
      <w:proofErr w:type="gramStart"/>
      <w:r w:rsidRPr="00AB662B">
        <w:rPr>
          <w:rFonts w:ascii="Times New Roman" w:eastAsia="Times New Roman" w:hAnsi="Times New Roman" w:cs="Times New Roman"/>
          <w:sz w:val="24"/>
          <w:szCs w:val="24"/>
          <w:lang w:eastAsia="tr-TR"/>
        </w:rPr>
        <w:t>yıl sonu</w:t>
      </w:r>
      <w:proofErr w:type="gramEnd"/>
      <w:r w:rsidRPr="00AB662B">
        <w:rPr>
          <w:rFonts w:ascii="Times New Roman" w:eastAsia="Times New Roman" w:hAnsi="Times New Roman" w:cs="Times New Roman"/>
          <w:sz w:val="24"/>
          <w:szCs w:val="24"/>
          <w:lang w:eastAsia="tr-TR"/>
        </w:rPr>
        <w:t xml:space="preserve"> gerçekleşmesi olarak </w:t>
      </w:r>
      <w:r w:rsidR="00E4429F">
        <w:rPr>
          <w:rFonts w:ascii="Times New Roman" w:eastAsia="Times New Roman" w:hAnsi="Times New Roman" w:cs="Times New Roman"/>
          <w:sz w:val="24"/>
          <w:szCs w:val="24"/>
          <w:lang w:eastAsia="tr-TR"/>
        </w:rPr>
        <w:t xml:space="preserve">2018 yılı içerisinde çıkarılan vergi borcu yapılandırma kanunu kapsamında sağlanacak artışla birlikte </w:t>
      </w:r>
      <w:r w:rsidRPr="00AB662B">
        <w:rPr>
          <w:rFonts w:ascii="Times New Roman" w:eastAsia="Times New Roman" w:hAnsi="Times New Roman" w:cs="Times New Roman"/>
          <w:sz w:val="24"/>
          <w:szCs w:val="24"/>
          <w:lang w:eastAsia="tr-TR"/>
        </w:rPr>
        <w:t xml:space="preserve">bütçe hedefinin tamamı, diğer gelir kalemlerimizin ise bütçe hedefine yakın olarak gerçekleşeceği tahmin edilmektedir. </w:t>
      </w:r>
    </w:p>
    <w:p w:rsidR="00AB662B" w:rsidRPr="00AB662B" w:rsidRDefault="00AB662B" w:rsidP="00F0482E">
      <w:pPr>
        <w:spacing w:after="0" w:line="360"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Genel bütçe vergi gelirlerinden sağlanan payın gelişimi merkezi yönetimin vergi gelirleri tahsilâtı ile doğru orantılı bir seyir izlemektedir. </w:t>
      </w:r>
      <w:proofErr w:type="gramStart"/>
      <w:r w:rsidRPr="00AB662B">
        <w:rPr>
          <w:rFonts w:ascii="Times New Roman" w:eastAsia="Times New Roman" w:hAnsi="Times New Roman" w:cs="Times New Roman"/>
          <w:sz w:val="24"/>
          <w:szCs w:val="24"/>
          <w:lang w:eastAsia="tr-TR"/>
        </w:rPr>
        <w:t>Dolayısıyla, bu gelir türü ile ilgili olarak yılsonu tahmini yapılırken yılın ilk altı ayında genel bütçe vergi gelirlerinden sağlanan gelirlerin aylık gelişimi, merkezi yönetimin vergi gelirlerine ilişkin yılsonu tahmini ile hem merkezi yönetim vergi gelirlerinin, hem de Sultanbeyli Belediyesi’nin genel bütçe vergi gelirlerinden aldıkları payların geçmiş yıllarda yılın ilk altı ayı ile ikinci altı ayındaki gerçekleşme oranları dikkate alınmıştır.</w:t>
      </w:r>
      <w:proofErr w:type="gramEnd"/>
    </w:p>
    <w:p w:rsidR="00AB662B" w:rsidRPr="00AB662B" w:rsidRDefault="00AB662B" w:rsidP="00F0482E">
      <w:pPr>
        <w:spacing w:after="0" w:line="360"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Diğer gelir kalemlerimizle ilgili 2018 yılı sonu tahminlerimiz, bu gelirlerin geçmiş yıllarda yılın ilk yarısı ile ikinci yarısındaki gerçekleşme yüzdeleri, tahsilâtı belirli dönemlere yayılmış olan gelirlerin tahsilât dönemleri ve yılın ikinci yarısına ilişkin beklentiler dikkate alınarak yapılmıştır. </w:t>
      </w:r>
    </w:p>
    <w:p w:rsidR="00AB662B" w:rsidRPr="00AB662B" w:rsidRDefault="00AB662B" w:rsidP="00F0482E">
      <w:pPr>
        <w:spacing w:after="0" w:line="360"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Buna göre yıl içinde tahsilâtı belirli dönemlere yayılmış olan gelirlerden Emlak Vergisi ve İlan ve Reklam Vergisinin %30’unun, yılın ilk yarısında tahsil edileceği tahmin edilmiş, gerçekleşme oranları da bu yönde tutarlılık göstermiştir. </w:t>
      </w:r>
    </w:p>
    <w:p w:rsidR="00AB662B" w:rsidRPr="00AB662B" w:rsidRDefault="00AB662B" w:rsidP="00F0482E">
      <w:pPr>
        <w:spacing w:after="0" w:line="360" w:lineRule="auto"/>
        <w:ind w:firstLine="539"/>
        <w:jc w:val="both"/>
        <w:rPr>
          <w:rFonts w:ascii="Times New Roman" w:eastAsia="Times New Roman" w:hAnsi="Times New Roman" w:cs="Times New Roman"/>
          <w:sz w:val="24"/>
          <w:szCs w:val="24"/>
          <w:lang w:eastAsia="tr-TR"/>
        </w:rPr>
      </w:pPr>
    </w:p>
    <w:p w:rsidR="00AB662B" w:rsidRPr="00AB662B" w:rsidRDefault="00AB662B" w:rsidP="00F0482E">
      <w:pPr>
        <w:keepNext/>
        <w:keepLines/>
        <w:spacing w:after="0" w:line="360" w:lineRule="auto"/>
        <w:jc w:val="center"/>
        <w:outlineLvl w:val="0"/>
        <w:rPr>
          <w:rFonts w:ascii="Arial" w:eastAsia="Times New Roman" w:hAnsi="Arial" w:cs="Arial"/>
          <w:b/>
          <w:bCs/>
        </w:rPr>
      </w:pPr>
      <w:r w:rsidRPr="00AB662B">
        <w:rPr>
          <w:rFonts w:ascii="Arial" w:eastAsia="Times New Roman" w:hAnsi="Arial" w:cs="Arial"/>
          <w:b/>
          <w:bCs/>
          <w:highlight w:val="lightGray"/>
        </w:rPr>
        <w:t xml:space="preserve">IV. 2018 </w:t>
      </w:r>
      <w:proofErr w:type="gramStart"/>
      <w:r w:rsidRPr="00AB662B">
        <w:rPr>
          <w:rFonts w:ascii="Arial" w:eastAsia="Times New Roman" w:hAnsi="Arial" w:cs="Arial"/>
          <w:b/>
          <w:bCs/>
          <w:highlight w:val="lightGray"/>
        </w:rPr>
        <w:t>YILI  II</w:t>
      </w:r>
      <w:proofErr w:type="gramEnd"/>
      <w:r w:rsidRPr="00AB662B">
        <w:rPr>
          <w:rFonts w:ascii="Arial" w:eastAsia="Times New Roman" w:hAnsi="Arial" w:cs="Arial"/>
          <w:b/>
          <w:bCs/>
          <w:highlight w:val="lightGray"/>
        </w:rPr>
        <w:t>. 6 AYLIK (TEMMUZ – ARALIK)  DÖNEMDE YÜRÜTÜLECEK FAALİYETLER</w:t>
      </w:r>
    </w:p>
    <w:p w:rsidR="00AB662B" w:rsidRPr="00AB662B" w:rsidRDefault="00AB662B" w:rsidP="00F0482E">
      <w:pPr>
        <w:spacing w:after="0" w:line="360" w:lineRule="auto"/>
        <w:rPr>
          <w:rFonts w:ascii="Times New Roman" w:eastAsia="Times New Roman" w:hAnsi="Times New Roman" w:cs="Times New Roman"/>
          <w:sz w:val="24"/>
          <w:szCs w:val="24"/>
          <w:lang w:eastAsia="tr-TR"/>
        </w:rPr>
      </w:pPr>
    </w:p>
    <w:p w:rsidR="00AB662B" w:rsidRPr="00AB662B" w:rsidRDefault="00AB662B" w:rsidP="00F0482E">
      <w:pPr>
        <w:spacing w:after="0" w:line="360" w:lineRule="auto"/>
        <w:ind w:firstLine="539"/>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Sultanbeyli Belediyesi daha önce olduğu gibi Ocak-Haziran 2018 döneminde de sağladığı, bütçe geliri ve gideri arasındaki güçlü uyumu, harcamalardaki kalite ve mali disiplin anlayışını, belirlenen bütçe hedefleri doğrultusunda hareket ederek bundan sonraki dönemlerde de kararlılıkla sürdürecektir.</w:t>
      </w:r>
    </w:p>
    <w:p w:rsidR="00AB662B" w:rsidRPr="00AB662B" w:rsidRDefault="00AB662B" w:rsidP="00F0482E">
      <w:pPr>
        <w:spacing w:after="0" w:line="360" w:lineRule="auto"/>
        <w:ind w:firstLine="539"/>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 xml:space="preserve">Gelişmekte olan ilçemizin 2016 yılı Haziran Ayı itibari ile </w:t>
      </w:r>
      <w:r w:rsidRPr="00AB662B">
        <w:rPr>
          <w:rFonts w:ascii="Times New Roman" w:eastAsia="Arial" w:hAnsi="Times New Roman" w:cs="Times New Roman"/>
          <w:bCs/>
          <w:color w:val="111111"/>
          <w:sz w:val="24"/>
          <w:szCs w:val="24"/>
        </w:rPr>
        <w:t>324</w:t>
      </w:r>
      <w:r w:rsidRPr="00AB662B">
        <w:rPr>
          <w:rFonts w:ascii="Times New Roman" w:eastAsia="Arial" w:hAnsi="Times New Roman" w:cs="Times New Roman"/>
          <w:bCs/>
          <w:color w:val="111111"/>
        </w:rPr>
        <w:t>.709</w:t>
      </w:r>
      <w:r w:rsidRPr="00AB662B">
        <w:rPr>
          <w:rFonts w:ascii="Times New Roman" w:eastAsia="Arial" w:hAnsi="Times New Roman" w:cs="Times New Roman"/>
          <w:sz w:val="24"/>
          <w:szCs w:val="24"/>
        </w:rPr>
        <w:t xml:space="preserve"> olan nüfusu yaklaşık %1,62 artarak 201</w:t>
      </w:r>
      <w:r w:rsidR="00B10280">
        <w:rPr>
          <w:rFonts w:ascii="Times New Roman" w:eastAsia="Arial" w:hAnsi="Times New Roman" w:cs="Times New Roman"/>
          <w:sz w:val="24"/>
          <w:szCs w:val="24"/>
        </w:rPr>
        <w:t>7</w:t>
      </w:r>
      <w:r w:rsidRPr="00AB662B">
        <w:rPr>
          <w:rFonts w:ascii="Times New Roman" w:eastAsia="Arial" w:hAnsi="Times New Roman" w:cs="Times New Roman"/>
          <w:sz w:val="24"/>
          <w:szCs w:val="24"/>
        </w:rPr>
        <w:t xml:space="preserve"> yılı</w:t>
      </w:r>
      <w:r w:rsidR="00B10280">
        <w:rPr>
          <w:rFonts w:ascii="Times New Roman" w:eastAsia="Arial" w:hAnsi="Times New Roman" w:cs="Times New Roman"/>
          <w:sz w:val="24"/>
          <w:szCs w:val="24"/>
        </w:rPr>
        <w:t>nda</w:t>
      </w:r>
      <w:r w:rsidRPr="00AB662B">
        <w:rPr>
          <w:rFonts w:ascii="Times New Roman" w:eastAsia="Arial" w:hAnsi="Times New Roman" w:cs="Times New Roman"/>
          <w:sz w:val="24"/>
          <w:szCs w:val="24"/>
        </w:rPr>
        <w:t xml:space="preserve"> 329.985 rakamına ulaşmıştır. Artan nüfus yoğunluğu Belediyemizin mali yapısına ek bir yük getirmiştir. Ancak gerek “Genel Bütçe Vergi Gelirlerinden Alınan Paylar” gerekse yasayla belirlenen diğer gelirlerimizin oranlarında, artan bu yükümüze paralel olarak bir artış görülmemiştir. İlçemizde, ticari ve sosyal hayatın çok hızlı gelişmesi ve bu gelişime paralel olarak hizmet standardında meydana gelen ihtiyaç ve talep değişikliklerine cevap verme zorunluluğu Belediyemizin yeni stratejiler </w:t>
      </w:r>
      <w:r w:rsidRPr="00AB662B">
        <w:rPr>
          <w:rFonts w:ascii="Times New Roman" w:eastAsia="Arial" w:hAnsi="Times New Roman" w:cs="Times New Roman"/>
          <w:sz w:val="24"/>
          <w:szCs w:val="24"/>
        </w:rPr>
        <w:lastRenderedPageBreak/>
        <w:t>geliştirmesini mecbur kılmaktadır. Tüm bu gelişmeler ve hizmet alanımıza göre yetersiz kalan mali imkânlarımıza rağmen Belediyemiz, sorumluluğunu en iyi şekilde yerine getirebilmek, planlanan proje ve yatırımları, hedeflenen süreler dâhilinde tamamlayarak halkımıza en iyi hizmeti sunabilmek için yoğun bir gayret göstermektedir.</w:t>
      </w:r>
    </w:p>
    <w:p w:rsidR="00AB662B" w:rsidRPr="00AB662B" w:rsidRDefault="00AB662B" w:rsidP="00F0482E">
      <w:pPr>
        <w:spacing w:after="0" w:line="360" w:lineRule="auto"/>
        <w:ind w:firstLine="539"/>
        <w:jc w:val="both"/>
        <w:rPr>
          <w:rFonts w:ascii="Times New Roman" w:eastAsia="Times New Roman" w:hAnsi="Times New Roman" w:cs="Times New Roman"/>
          <w:sz w:val="24"/>
          <w:szCs w:val="24"/>
          <w:lang w:eastAsia="tr-TR"/>
        </w:rPr>
      </w:pPr>
      <w:r w:rsidRPr="00AB662B">
        <w:rPr>
          <w:rFonts w:ascii="Times New Roman" w:eastAsia="Times New Roman" w:hAnsi="Times New Roman" w:cs="Times New Roman"/>
          <w:sz w:val="24"/>
          <w:szCs w:val="24"/>
          <w:lang w:eastAsia="tr-TR"/>
        </w:rPr>
        <w:t xml:space="preserve">Yukarıda sunmuş olduğumuz 2018 yılı Ocak–Haziran Dönemi bütçe uygulama sonuçlarımız, beklentilerimiz doğrultusunda gerçekleşmiştir. </w:t>
      </w:r>
    </w:p>
    <w:p w:rsidR="00AB662B" w:rsidRPr="00AB662B" w:rsidRDefault="00AB662B" w:rsidP="00F0482E">
      <w:pPr>
        <w:autoSpaceDE w:val="0"/>
        <w:autoSpaceDN w:val="0"/>
        <w:adjustRightInd w:val="0"/>
        <w:spacing w:after="0" w:line="360" w:lineRule="auto"/>
        <w:ind w:firstLine="539"/>
        <w:jc w:val="both"/>
        <w:rPr>
          <w:rFonts w:ascii="Times New Roman" w:eastAsia="Arial" w:hAnsi="Times New Roman" w:cs="Times New Roman"/>
          <w:sz w:val="24"/>
          <w:szCs w:val="24"/>
        </w:rPr>
      </w:pPr>
      <w:r w:rsidRPr="00AB662B">
        <w:rPr>
          <w:rFonts w:ascii="Times New Roman" w:eastAsia="Arial" w:hAnsi="Times New Roman" w:cs="Times New Roman"/>
          <w:sz w:val="24"/>
          <w:szCs w:val="24"/>
        </w:rPr>
        <w:t>Belediyemiz; Genel Yönetim, İmar Yönetimi, Çevre Yönetimi, Yapım İşleri ve Yatırım Yönetimi, Kent ve Toplum Düzeni Yönetimi, Sağlık ve Sosyal Destek Hizmetleri, Kültür Hizmetleri, Performans Bilgileri ve Kurumsal Kabiliyet ve Kapasitenin Değerlendirilmesi olan temel önceliğimizde; kültürden alt yapıya, çevreden temizlik hizmetlerine, imardan sosyal amaçlı yatırım ve hizmetlere ve dahası sağlık alanında yürüttüğümüz çalışmalara kadar birçok alanda devam eden yatırımlarımızı bütçe uygulamalarımızdan, şimdiye kadar olduğu gibi şimdiden sonra da taviz vermeden devam ettirilerek bütçe hedeflerimizin gerçekleştirilmesinin sağlanmasına çalışılacaktır.</w:t>
      </w:r>
    </w:p>
    <w:p w:rsidR="00615881" w:rsidRDefault="00615881"/>
    <w:sectPr w:rsidR="00615881" w:rsidSect="00AB662B">
      <w:footerReference w:type="first" r:id="rId30"/>
      <w:pgSz w:w="11906" w:h="16838"/>
      <w:pgMar w:top="1418" w:right="748" w:bottom="993" w:left="1077" w:header="709" w:footer="709" w:gutter="0"/>
      <w:pgBorders w:offsetFrom="page">
        <w:top w:val="single" w:sz="6" w:space="24" w:color="FFFFFF"/>
        <w:left w:val="single" w:sz="6" w:space="24" w:color="FFFFFF"/>
        <w:bottom w:val="single" w:sz="6" w:space="24" w:color="FFFFFF"/>
        <w:right w:val="single" w:sz="6" w:space="24" w:color="FFFFFF"/>
      </w:pgBorders>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338" w:rsidRDefault="00912338" w:rsidP="00AB662B">
      <w:pPr>
        <w:spacing w:after="0" w:line="240" w:lineRule="auto"/>
      </w:pPr>
      <w:r>
        <w:separator/>
      </w:r>
    </w:p>
  </w:endnote>
  <w:endnote w:type="continuationSeparator" w:id="0">
    <w:p w:rsidR="00912338" w:rsidRDefault="00912338" w:rsidP="00A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rial TUR">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338" w:rsidRDefault="00912338" w:rsidP="00DA35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16</w:t>
    </w:r>
    <w:r>
      <w:rPr>
        <w:rStyle w:val="SayfaNumaras"/>
      </w:rPr>
      <w:fldChar w:fldCharType="end"/>
    </w:r>
  </w:p>
  <w:p w:rsidR="00912338" w:rsidRDefault="00912338" w:rsidP="00DA35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827103"/>
      <w:docPartObj>
        <w:docPartGallery w:val="Page Numbers (Bottom of Page)"/>
        <w:docPartUnique/>
      </w:docPartObj>
    </w:sdtPr>
    <w:sdtContent>
      <w:p w:rsidR="00912338" w:rsidRDefault="00912338">
        <w:pPr>
          <w:pStyle w:val="Altbilgi"/>
          <w:jc w:val="right"/>
        </w:pPr>
        <w:r>
          <w:fldChar w:fldCharType="begin"/>
        </w:r>
        <w:r>
          <w:instrText>PAGE   \* MERGEFORMAT</w:instrText>
        </w:r>
        <w:r>
          <w:fldChar w:fldCharType="separate"/>
        </w:r>
        <w:r>
          <w:rPr>
            <w:noProof/>
          </w:rPr>
          <w:t>4</w:t>
        </w:r>
        <w:r>
          <w:fldChar w:fldCharType="end"/>
        </w:r>
      </w:p>
    </w:sdtContent>
  </w:sdt>
  <w:p w:rsidR="00912338" w:rsidRDefault="00912338" w:rsidP="00DA352D">
    <w:pPr>
      <w:pStyle w:val="Altbilgi"/>
      <w:tabs>
        <w:tab w:val="clear" w:pos="4536"/>
        <w:tab w:val="clear" w:pos="9072"/>
        <w:tab w:val="left" w:pos="7155"/>
        <w:tab w:val="right" w:pos="10081"/>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54356"/>
      <w:docPartObj>
        <w:docPartGallery w:val="Page Numbers (Bottom of Page)"/>
        <w:docPartUnique/>
      </w:docPartObj>
    </w:sdtPr>
    <w:sdtContent>
      <w:p w:rsidR="00912338" w:rsidRDefault="00912338">
        <w:pPr>
          <w:pStyle w:val="Altbilgi"/>
          <w:jc w:val="right"/>
        </w:pPr>
        <w:r>
          <w:fldChar w:fldCharType="begin"/>
        </w:r>
        <w:r>
          <w:instrText>PAGE   \* MERGEFORMAT</w:instrText>
        </w:r>
        <w:r>
          <w:fldChar w:fldCharType="separate"/>
        </w:r>
        <w:r>
          <w:rPr>
            <w:noProof/>
          </w:rPr>
          <w:t>1</w:t>
        </w:r>
        <w:r>
          <w:fldChar w:fldCharType="end"/>
        </w:r>
      </w:p>
    </w:sdtContent>
  </w:sdt>
  <w:p w:rsidR="00912338" w:rsidRDefault="00912338" w:rsidP="00DA352D">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12818"/>
      <w:docPartObj>
        <w:docPartGallery w:val="Page Numbers (Bottom of Page)"/>
        <w:docPartUnique/>
      </w:docPartObj>
    </w:sdtPr>
    <w:sdtContent>
      <w:p w:rsidR="00912338" w:rsidRDefault="00912338">
        <w:pPr>
          <w:pStyle w:val="Altbilgi"/>
          <w:jc w:val="right"/>
        </w:pPr>
        <w:r>
          <w:fldChar w:fldCharType="begin"/>
        </w:r>
        <w:r>
          <w:instrText>PAGE   \* MERGEFORMAT</w:instrText>
        </w:r>
        <w:r>
          <w:fldChar w:fldCharType="separate"/>
        </w:r>
        <w:r>
          <w:rPr>
            <w:noProof/>
          </w:rPr>
          <w:t>2</w:t>
        </w:r>
        <w:r>
          <w:fldChar w:fldCharType="end"/>
        </w:r>
      </w:p>
    </w:sdtContent>
  </w:sdt>
  <w:p w:rsidR="00912338" w:rsidRDefault="00912338" w:rsidP="00DA352D">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338" w:rsidRDefault="00912338" w:rsidP="00AB662B">
      <w:pPr>
        <w:spacing w:after="0" w:line="240" w:lineRule="auto"/>
      </w:pPr>
      <w:r>
        <w:separator/>
      </w:r>
    </w:p>
  </w:footnote>
  <w:footnote w:type="continuationSeparator" w:id="0">
    <w:p w:rsidR="00912338" w:rsidRDefault="00912338" w:rsidP="00AB6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635"/>
    <w:multiLevelType w:val="hybridMultilevel"/>
    <w:tmpl w:val="653AC190"/>
    <w:lvl w:ilvl="0" w:tplc="2A1CC076">
      <w:start w:val="3"/>
      <w:numFmt w:val="decimalZero"/>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736145"/>
    <w:multiLevelType w:val="hybridMultilevel"/>
    <w:tmpl w:val="C7C2E96E"/>
    <w:lvl w:ilvl="0" w:tplc="C12C4C0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2E97787"/>
    <w:multiLevelType w:val="hybridMultilevel"/>
    <w:tmpl w:val="8B98B5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56557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CDA73B2"/>
    <w:multiLevelType w:val="hybridMultilevel"/>
    <w:tmpl w:val="AC2CA580"/>
    <w:lvl w:ilvl="0" w:tplc="191C857E">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854416"/>
    <w:multiLevelType w:val="hybridMultilevel"/>
    <w:tmpl w:val="954AAC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ED5D95"/>
    <w:multiLevelType w:val="hybridMultilevel"/>
    <w:tmpl w:val="E63C2A12"/>
    <w:lvl w:ilvl="0" w:tplc="FC560C7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CAF3995"/>
    <w:multiLevelType w:val="hybridMultilevel"/>
    <w:tmpl w:val="0F047046"/>
    <w:lvl w:ilvl="0" w:tplc="FC560C7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59059C8"/>
    <w:multiLevelType w:val="hybridMultilevel"/>
    <w:tmpl w:val="61D22D5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5"/>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2B"/>
    <w:rsid w:val="0005595E"/>
    <w:rsid w:val="0007127B"/>
    <w:rsid w:val="000B6536"/>
    <w:rsid w:val="00104103"/>
    <w:rsid w:val="001A6820"/>
    <w:rsid w:val="001B4354"/>
    <w:rsid w:val="001C4E82"/>
    <w:rsid w:val="001F545F"/>
    <w:rsid w:val="00247A81"/>
    <w:rsid w:val="00286E51"/>
    <w:rsid w:val="002F6A4A"/>
    <w:rsid w:val="002F75C7"/>
    <w:rsid w:val="003022CB"/>
    <w:rsid w:val="00324C30"/>
    <w:rsid w:val="003308D2"/>
    <w:rsid w:val="0034687C"/>
    <w:rsid w:val="00372FFC"/>
    <w:rsid w:val="003762DF"/>
    <w:rsid w:val="00390A52"/>
    <w:rsid w:val="00420D48"/>
    <w:rsid w:val="00437639"/>
    <w:rsid w:val="00454BB8"/>
    <w:rsid w:val="00485C98"/>
    <w:rsid w:val="004D3D87"/>
    <w:rsid w:val="00517EA8"/>
    <w:rsid w:val="0052711A"/>
    <w:rsid w:val="00546656"/>
    <w:rsid w:val="00597F44"/>
    <w:rsid w:val="005C3B22"/>
    <w:rsid w:val="005F154B"/>
    <w:rsid w:val="00615881"/>
    <w:rsid w:val="0063065B"/>
    <w:rsid w:val="00674107"/>
    <w:rsid w:val="00706D8C"/>
    <w:rsid w:val="00726849"/>
    <w:rsid w:val="00750253"/>
    <w:rsid w:val="00772CC3"/>
    <w:rsid w:val="007D2244"/>
    <w:rsid w:val="00875AAB"/>
    <w:rsid w:val="00881D39"/>
    <w:rsid w:val="008B70BC"/>
    <w:rsid w:val="008F55DD"/>
    <w:rsid w:val="00912338"/>
    <w:rsid w:val="0092234B"/>
    <w:rsid w:val="009923E5"/>
    <w:rsid w:val="009C6759"/>
    <w:rsid w:val="009E6737"/>
    <w:rsid w:val="00A169AC"/>
    <w:rsid w:val="00A2047A"/>
    <w:rsid w:val="00A44306"/>
    <w:rsid w:val="00A75EE8"/>
    <w:rsid w:val="00AB662B"/>
    <w:rsid w:val="00AF290B"/>
    <w:rsid w:val="00B10280"/>
    <w:rsid w:val="00B34FC1"/>
    <w:rsid w:val="00B56EA9"/>
    <w:rsid w:val="00BA747D"/>
    <w:rsid w:val="00C54F1C"/>
    <w:rsid w:val="00C973D5"/>
    <w:rsid w:val="00CA7E68"/>
    <w:rsid w:val="00CC2B1A"/>
    <w:rsid w:val="00DA00D1"/>
    <w:rsid w:val="00DA352D"/>
    <w:rsid w:val="00E30575"/>
    <w:rsid w:val="00E4429F"/>
    <w:rsid w:val="00E572CA"/>
    <w:rsid w:val="00E708B7"/>
    <w:rsid w:val="00EB1512"/>
    <w:rsid w:val="00EC12A6"/>
    <w:rsid w:val="00EF4546"/>
    <w:rsid w:val="00F0482E"/>
    <w:rsid w:val="00F74A14"/>
    <w:rsid w:val="00F750A3"/>
    <w:rsid w:val="00FF1D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Classic 3" w:uiPriority="0"/>
    <w:lsdException w:name="Table Grid 2" w:uiPriority="0"/>
    <w:lsdException w:name="Table Grid 8"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B662B"/>
    <w:pPr>
      <w:keepNext/>
      <w:keepLines/>
      <w:spacing w:before="480" w:after="0"/>
      <w:outlineLvl w:val="0"/>
    </w:pPr>
    <w:rPr>
      <w:rFonts w:ascii="Arial" w:eastAsia="Times New Roman" w:hAnsi="Arial" w:cs="Arial"/>
      <w:b/>
      <w:bCs/>
      <w:color w:val="3E3E67"/>
      <w:sz w:val="28"/>
      <w:szCs w:val="28"/>
    </w:rPr>
  </w:style>
  <w:style w:type="paragraph" w:styleId="Balk2">
    <w:name w:val="heading 2"/>
    <w:basedOn w:val="Normal"/>
    <w:next w:val="Normal"/>
    <w:link w:val="Balk2Char"/>
    <w:qFormat/>
    <w:rsid w:val="00AB662B"/>
    <w:pPr>
      <w:keepNext/>
      <w:keepLines/>
      <w:spacing w:before="200" w:after="0"/>
      <w:outlineLvl w:val="1"/>
    </w:pPr>
    <w:rPr>
      <w:rFonts w:ascii="Arial" w:eastAsia="Times New Roman" w:hAnsi="Arial" w:cs="Arial"/>
      <w:b/>
      <w:bCs/>
      <w:color w:val="53548A"/>
      <w:sz w:val="26"/>
      <w:szCs w:val="26"/>
    </w:rPr>
  </w:style>
  <w:style w:type="paragraph" w:styleId="Balk3">
    <w:name w:val="heading 3"/>
    <w:basedOn w:val="Normal"/>
    <w:next w:val="Normal"/>
    <w:link w:val="Balk3Char"/>
    <w:qFormat/>
    <w:rsid w:val="00AB662B"/>
    <w:pPr>
      <w:keepNext/>
      <w:keepLines/>
      <w:spacing w:before="200" w:after="0"/>
      <w:outlineLvl w:val="2"/>
    </w:pPr>
    <w:rPr>
      <w:rFonts w:ascii="Arial" w:eastAsia="Times New Roman" w:hAnsi="Arial" w:cs="Arial"/>
      <w:b/>
      <w:bCs/>
      <w:color w:val="53548A"/>
    </w:rPr>
  </w:style>
  <w:style w:type="paragraph" w:styleId="Balk4">
    <w:name w:val="heading 4"/>
    <w:basedOn w:val="Normal"/>
    <w:next w:val="Normal"/>
    <w:link w:val="Balk4Char"/>
    <w:qFormat/>
    <w:rsid w:val="00AB662B"/>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662B"/>
    <w:rPr>
      <w:rFonts w:ascii="Arial" w:eastAsia="Times New Roman" w:hAnsi="Arial" w:cs="Arial"/>
      <w:b/>
      <w:bCs/>
      <w:color w:val="3E3E67"/>
      <w:sz w:val="28"/>
      <w:szCs w:val="28"/>
    </w:rPr>
  </w:style>
  <w:style w:type="character" w:customStyle="1" w:styleId="Balk2Char">
    <w:name w:val="Başlık 2 Char"/>
    <w:basedOn w:val="VarsaylanParagrafYazTipi"/>
    <w:link w:val="Balk2"/>
    <w:rsid w:val="00AB662B"/>
    <w:rPr>
      <w:rFonts w:ascii="Arial" w:eastAsia="Times New Roman" w:hAnsi="Arial" w:cs="Arial"/>
      <w:b/>
      <w:bCs/>
      <w:color w:val="53548A"/>
      <w:sz w:val="26"/>
      <w:szCs w:val="26"/>
    </w:rPr>
  </w:style>
  <w:style w:type="character" w:customStyle="1" w:styleId="Balk3Char">
    <w:name w:val="Başlık 3 Char"/>
    <w:basedOn w:val="VarsaylanParagrafYazTipi"/>
    <w:link w:val="Balk3"/>
    <w:rsid w:val="00AB662B"/>
    <w:rPr>
      <w:rFonts w:ascii="Arial" w:eastAsia="Times New Roman" w:hAnsi="Arial" w:cs="Arial"/>
      <w:b/>
      <w:bCs/>
      <w:color w:val="53548A"/>
    </w:rPr>
  </w:style>
  <w:style w:type="character" w:customStyle="1" w:styleId="Balk4Char">
    <w:name w:val="Başlık 4 Char"/>
    <w:basedOn w:val="VarsaylanParagrafYazTipi"/>
    <w:link w:val="Balk4"/>
    <w:rsid w:val="00AB662B"/>
    <w:rPr>
      <w:rFonts w:ascii="Calibri" w:eastAsia="Times New Roman" w:hAnsi="Calibri" w:cs="Times New Roman"/>
      <w:b/>
      <w:bCs/>
      <w:sz w:val="28"/>
      <w:szCs w:val="28"/>
      <w:lang w:eastAsia="tr-TR"/>
    </w:rPr>
  </w:style>
  <w:style w:type="numbering" w:customStyle="1" w:styleId="ListeYok1">
    <w:name w:val="Liste Yok1"/>
    <w:next w:val="ListeYok"/>
    <w:semiHidden/>
    <w:unhideWhenUsed/>
    <w:rsid w:val="00AB662B"/>
  </w:style>
  <w:style w:type="paragraph" w:customStyle="1" w:styleId="Default">
    <w:name w:val="Default"/>
    <w:rsid w:val="00AB662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GvdeMetni2">
    <w:name w:val="Body Text 2"/>
    <w:basedOn w:val="Normal"/>
    <w:link w:val="GvdeMetni2Char"/>
    <w:rsid w:val="00AB662B"/>
    <w:pPr>
      <w:spacing w:after="120" w:line="480" w:lineRule="auto"/>
    </w:pPr>
    <w:rPr>
      <w:rFonts w:ascii="Arial" w:eastAsia="Arial" w:hAnsi="Arial" w:cs="Arial"/>
    </w:rPr>
  </w:style>
  <w:style w:type="character" w:customStyle="1" w:styleId="GvdeMetni2Char">
    <w:name w:val="Gövde Metni 2 Char"/>
    <w:basedOn w:val="VarsaylanParagrafYazTipi"/>
    <w:link w:val="GvdeMetni2"/>
    <w:rsid w:val="00AB662B"/>
    <w:rPr>
      <w:rFonts w:ascii="Arial" w:eastAsia="Arial" w:hAnsi="Arial" w:cs="Arial"/>
    </w:rPr>
  </w:style>
  <w:style w:type="paragraph" w:styleId="GvdeMetniGirintisi">
    <w:name w:val="Body Text Indent"/>
    <w:aliases w:val=" Char"/>
    <w:basedOn w:val="Normal"/>
    <w:link w:val="GvdeMetniGirintisiChar"/>
    <w:rsid w:val="00AB662B"/>
    <w:pPr>
      <w:spacing w:after="120"/>
      <w:ind w:left="283"/>
    </w:pPr>
    <w:rPr>
      <w:rFonts w:ascii="Arial" w:eastAsia="Arial" w:hAnsi="Arial" w:cs="Arial"/>
    </w:rPr>
  </w:style>
  <w:style w:type="character" w:customStyle="1" w:styleId="GvdeMetniGirintisiChar">
    <w:name w:val="Gövde Metni Girintisi Char"/>
    <w:aliases w:val=" Char Char"/>
    <w:basedOn w:val="VarsaylanParagrafYazTipi"/>
    <w:link w:val="GvdeMetniGirintisi"/>
    <w:rsid w:val="00AB662B"/>
    <w:rPr>
      <w:rFonts w:ascii="Arial" w:eastAsia="Arial" w:hAnsi="Arial" w:cs="Arial"/>
    </w:rPr>
  </w:style>
  <w:style w:type="table" w:styleId="TabloKlavuzu">
    <w:name w:val="Table Grid"/>
    <w:basedOn w:val="NormalTablo"/>
    <w:rsid w:val="00AB662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AB662B"/>
    <w:rPr>
      <w:color w:val="008000"/>
      <w:u w:val="single"/>
    </w:rPr>
  </w:style>
  <w:style w:type="paragraph" w:styleId="Altbilgi">
    <w:name w:val="footer"/>
    <w:basedOn w:val="Normal"/>
    <w:link w:val="Al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AB662B"/>
    <w:rPr>
      <w:rFonts w:ascii="Times New Roman" w:eastAsia="Times New Roman" w:hAnsi="Times New Roman" w:cs="Times New Roman"/>
      <w:sz w:val="24"/>
      <w:szCs w:val="24"/>
      <w:lang w:eastAsia="tr-TR"/>
    </w:rPr>
  </w:style>
  <w:style w:type="character" w:styleId="SayfaNumaras">
    <w:name w:val="page number"/>
    <w:basedOn w:val="VarsaylanParagrafYazTipi"/>
    <w:rsid w:val="00AB662B"/>
  </w:style>
  <w:style w:type="paragraph" w:styleId="stbilgi">
    <w:name w:val="header"/>
    <w:basedOn w:val="Normal"/>
    <w:link w:val="s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AB662B"/>
    <w:rPr>
      <w:rFonts w:ascii="Times New Roman" w:eastAsia="Times New Roman" w:hAnsi="Times New Roman" w:cs="Times New Roman"/>
      <w:sz w:val="24"/>
      <w:szCs w:val="24"/>
      <w:lang w:eastAsia="tr-TR"/>
    </w:rPr>
  </w:style>
  <w:style w:type="table" w:styleId="TabloKlavuz8">
    <w:name w:val="Table Grid 8"/>
    <w:basedOn w:val="TabloListe7"/>
    <w:rsid w:val="00AB662B"/>
    <w:tblPr>
      <w:tblStyleRowBandSize w:val="1"/>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8000"/>
          <w:tl2br w:val="none" w:sz="0" w:space="0" w:color="auto"/>
          <w:tr2bl w:val="none" w:sz="0" w:space="0" w:color="auto"/>
        </w:tcBorders>
        <w:shd w:val="solid" w:color="00008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sik3">
    <w:name w:val="Table Classic 3"/>
    <w:basedOn w:val="NormalTablo"/>
    <w:rsid w:val="00AB662B"/>
    <w:pPr>
      <w:spacing w:after="0" w:line="240" w:lineRule="auto"/>
    </w:pPr>
    <w:rPr>
      <w:rFonts w:ascii="Times New Roman" w:eastAsia="Times New Roman" w:hAnsi="Times New Roman" w:cs="Times New Roman"/>
      <w:color w:val="000080"/>
      <w:sz w:val="20"/>
      <w:szCs w:val="20"/>
      <w:lang w:eastAsia="tr-T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Liste7">
    <w:name w:val="Table List 7"/>
    <w:basedOn w:val="NormalTablo"/>
    <w:rsid w:val="00AB662B"/>
    <w:pPr>
      <w:spacing w:after="0" w:line="240" w:lineRule="auto"/>
    </w:pPr>
    <w:rPr>
      <w:rFonts w:ascii="Times New Roman" w:eastAsia="Times New Roman" w:hAnsi="Times New Roman" w:cs="Times New Roman"/>
      <w:sz w:val="20"/>
      <w:szCs w:val="20"/>
      <w:lang w:eastAsia="tr-T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vuz2">
    <w:name w:val="Table Grid 2"/>
    <w:basedOn w:val="NormalTablo"/>
    <w:rsid w:val="00AB662B"/>
    <w:pPr>
      <w:spacing w:after="0" w:line="240" w:lineRule="auto"/>
    </w:pPr>
    <w:rPr>
      <w:rFonts w:ascii="Times New Roman" w:eastAsia="Times New Roman" w:hAnsi="Times New Roman" w:cs="Times New Roman"/>
      <w:sz w:val="20"/>
      <w:szCs w:val="20"/>
      <w:lang w:eastAsia="tr-TR"/>
    </w:rPr>
    <w:tblPr>
      <w:tblStyleRowBandSize w:val="3"/>
      <w:tblStyleColBandSize w:val="3"/>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onMetni">
    <w:name w:val="Balloon Text"/>
    <w:basedOn w:val="Normal"/>
    <w:link w:val="BalonMetniChar"/>
    <w:rsid w:val="00AB662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AB662B"/>
    <w:rPr>
      <w:rFonts w:ascii="Tahoma" w:eastAsia="Times New Roman" w:hAnsi="Tahoma" w:cs="Tahoma"/>
      <w:sz w:val="16"/>
      <w:szCs w:val="16"/>
      <w:lang w:eastAsia="tr-TR"/>
    </w:rPr>
  </w:style>
  <w:style w:type="table" w:styleId="OrtaKlavuz3-Vurgu5">
    <w:name w:val="Medium Grid 3 Accent 5"/>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1">
    <w:name w:val="Medium Grid 1 Accent 1"/>
    <w:basedOn w:val="NormalTablo"/>
    <w:uiPriority w:val="67"/>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1">
    <w:name w:val="Medium Grid 3 Accent 1"/>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Klavuz-Vurgu2">
    <w:name w:val="Light Grid Accent 2"/>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5">
    <w:name w:val="Light Grid Accent 5"/>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3">
    <w:name w:val="Light Grid Accent 3"/>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3">
    <w:name w:val="Medium Grid 3 Accent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1-Vurgu3">
    <w:name w:val="Medium Shading 1 Accent 3"/>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
    <w:name w:val="Medium Grid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Glgeleme1-Vurgu1">
    <w:name w:val="Medium Shading 1 Accent 1"/>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Gl">
    <w:name w:val="Strong"/>
    <w:uiPriority w:val="22"/>
    <w:qFormat/>
    <w:rsid w:val="00AB662B"/>
    <w:rPr>
      <w:b/>
      <w:bCs/>
    </w:rPr>
  </w:style>
  <w:style w:type="paragraph" w:styleId="ListeParagraf">
    <w:name w:val="List Paragraph"/>
    <w:basedOn w:val="Normal"/>
    <w:uiPriority w:val="34"/>
    <w:qFormat/>
    <w:rsid w:val="00A20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Classic 3" w:uiPriority="0"/>
    <w:lsdException w:name="Table Grid 2" w:uiPriority="0"/>
    <w:lsdException w:name="Table Grid 8" w:uiPriority="0"/>
    <w:lsdException w:name="Table List 7"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AB662B"/>
    <w:pPr>
      <w:keepNext/>
      <w:keepLines/>
      <w:spacing w:before="480" w:after="0"/>
      <w:outlineLvl w:val="0"/>
    </w:pPr>
    <w:rPr>
      <w:rFonts w:ascii="Arial" w:eastAsia="Times New Roman" w:hAnsi="Arial" w:cs="Arial"/>
      <w:b/>
      <w:bCs/>
      <w:color w:val="3E3E67"/>
      <w:sz w:val="28"/>
      <w:szCs w:val="28"/>
    </w:rPr>
  </w:style>
  <w:style w:type="paragraph" w:styleId="Balk2">
    <w:name w:val="heading 2"/>
    <w:basedOn w:val="Normal"/>
    <w:next w:val="Normal"/>
    <w:link w:val="Balk2Char"/>
    <w:qFormat/>
    <w:rsid w:val="00AB662B"/>
    <w:pPr>
      <w:keepNext/>
      <w:keepLines/>
      <w:spacing w:before="200" w:after="0"/>
      <w:outlineLvl w:val="1"/>
    </w:pPr>
    <w:rPr>
      <w:rFonts w:ascii="Arial" w:eastAsia="Times New Roman" w:hAnsi="Arial" w:cs="Arial"/>
      <w:b/>
      <w:bCs/>
      <w:color w:val="53548A"/>
      <w:sz w:val="26"/>
      <w:szCs w:val="26"/>
    </w:rPr>
  </w:style>
  <w:style w:type="paragraph" w:styleId="Balk3">
    <w:name w:val="heading 3"/>
    <w:basedOn w:val="Normal"/>
    <w:next w:val="Normal"/>
    <w:link w:val="Balk3Char"/>
    <w:qFormat/>
    <w:rsid w:val="00AB662B"/>
    <w:pPr>
      <w:keepNext/>
      <w:keepLines/>
      <w:spacing w:before="200" w:after="0"/>
      <w:outlineLvl w:val="2"/>
    </w:pPr>
    <w:rPr>
      <w:rFonts w:ascii="Arial" w:eastAsia="Times New Roman" w:hAnsi="Arial" w:cs="Arial"/>
      <w:b/>
      <w:bCs/>
      <w:color w:val="53548A"/>
    </w:rPr>
  </w:style>
  <w:style w:type="paragraph" w:styleId="Balk4">
    <w:name w:val="heading 4"/>
    <w:basedOn w:val="Normal"/>
    <w:next w:val="Normal"/>
    <w:link w:val="Balk4Char"/>
    <w:qFormat/>
    <w:rsid w:val="00AB662B"/>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B662B"/>
    <w:rPr>
      <w:rFonts w:ascii="Arial" w:eastAsia="Times New Roman" w:hAnsi="Arial" w:cs="Arial"/>
      <w:b/>
      <w:bCs/>
      <w:color w:val="3E3E67"/>
      <w:sz w:val="28"/>
      <w:szCs w:val="28"/>
    </w:rPr>
  </w:style>
  <w:style w:type="character" w:customStyle="1" w:styleId="Balk2Char">
    <w:name w:val="Başlık 2 Char"/>
    <w:basedOn w:val="VarsaylanParagrafYazTipi"/>
    <w:link w:val="Balk2"/>
    <w:rsid w:val="00AB662B"/>
    <w:rPr>
      <w:rFonts w:ascii="Arial" w:eastAsia="Times New Roman" w:hAnsi="Arial" w:cs="Arial"/>
      <w:b/>
      <w:bCs/>
      <w:color w:val="53548A"/>
      <w:sz w:val="26"/>
      <w:szCs w:val="26"/>
    </w:rPr>
  </w:style>
  <w:style w:type="character" w:customStyle="1" w:styleId="Balk3Char">
    <w:name w:val="Başlık 3 Char"/>
    <w:basedOn w:val="VarsaylanParagrafYazTipi"/>
    <w:link w:val="Balk3"/>
    <w:rsid w:val="00AB662B"/>
    <w:rPr>
      <w:rFonts w:ascii="Arial" w:eastAsia="Times New Roman" w:hAnsi="Arial" w:cs="Arial"/>
      <w:b/>
      <w:bCs/>
      <w:color w:val="53548A"/>
    </w:rPr>
  </w:style>
  <w:style w:type="character" w:customStyle="1" w:styleId="Balk4Char">
    <w:name w:val="Başlık 4 Char"/>
    <w:basedOn w:val="VarsaylanParagrafYazTipi"/>
    <w:link w:val="Balk4"/>
    <w:rsid w:val="00AB662B"/>
    <w:rPr>
      <w:rFonts w:ascii="Calibri" w:eastAsia="Times New Roman" w:hAnsi="Calibri" w:cs="Times New Roman"/>
      <w:b/>
      <w:bCs/>
      <w:sz w:val="28"/>
      <w:szCs w:val="28"/>
      <w:lang w:eastAsia="tr-TR"/>
    </w:rPr>
  </w:style>
  <w:style w:type="numbering" w:customStyle="1" w:styleId="ListeYok1">
    <w:name w:val="Liste Yok1"/>
    <w:next w:val="ListeYok"/>
    <w:semiHidden/>
    <w:unhideWhenUsed/>
    <w:rsid w:val="00AB662B"/>
  </w:style>
  <w:style w:type="paragraph" w:customStyle="1" w:styleId="Default">
    <w:name w:val="Default"/>
    <w:rsid w:val="00AB662B"/>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GvdeMetni2">
    <w:name w:val="Body Text 2"/>
    <w:basedOn w:val="Normal"/>
    <w:link w:val="GvdeMetni2Char"/>
    <w:rsid w:val="00AB662B"/>
    <w:pPr>
      <w:spacing w:after="120" w:line="480" w:lineRule="auto"/>
    </w:pPr>
    <w:rPr>
      <w:rFonts w:ascii="Arial" w:eastAsia="Arial" w:hAnsi="Arial" w:cs="Arial"/>
    </w:rPr>
  </w:style>
  <w:style w:type="character" w:customStyle="1" w:styleId="GvdeMetni2Char">
    <w:name w:val="Gövde Metni 2 Char"/>
    <w:basedOn w:val="VarsaylanParagrafYazTipi"/>
    <w:link w:val="GvdeMetni2"/>
    <w:rsid w:val="00AB662B"/>
    <w:rPr>
      <w:rFonts w:ascii="Arial" w:eastAsia="Arial" w:hAnsi="Arial" w:cs="Arial"/>
    </w:rPr>
  </w:style>
  <w:style w:type="paragraph" w:styleId="GvdeMetniGirintisi">
    <w:name w:val="Body Text Indent"/>
    <w:aliases w:val=" Char"/>
    <w:basedOn w:val="Normal"/>
    <w:link w:val="GvdeMetniGirintisiChar"/>
    <w:rsid w:val="00AB662B"/>
    <w:pPr>
      <w:spacing w:after="120"/>
      <w:ind w:left="283"/>
    </w:pPr>
    <w:rPr>
      <w:rFonts w:ascii="Arial" w:eastAsia="Arial" w:hAnsi="Arial" w:cs="Arial"/>
    </w:rPr>
  </w:style>
  <w:style w:type="character" w:customStyle="1" w:styleId="GvdeMetniGirintisiChar">
    <w:name w:val="Gövde Metni Girintisi Char"/>
    <w:aliases w:val=" Char Char"/>
    <w:basedOn w:val="VarsaylanParagrafYazTipi"/>
    <w:link w:val="GvdeMetniGirintisi"/>
    <w:rsid w:val="00AB662B"/>
    <w:rPr>
      <w:rFonts w:ascii="Arial" w:eastAsia="Arial" w:hAnsi="Arial" w:cs="Arial"/>
    </w:rPr>
  </w:style>
  <w:style w:type="table" w:styleId="TabloKlavuzu">
    <w:name w:val="Table Grid"/>
    <w:basedOn w:val="NormalTablo"/>
    <w:rsid w:val="00AB662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AB662B"/>
    <w:rPr>
      <w:color w:val="008000"/>
      <w:u w:val="single"/>
    </w:rPr>
  </w:style>
  <w:style w:type="paragraph" w:styleId="Altbilgi">
    <w:name w:val="footer"/>
    <w:basedOn w:val="Normal"/>
    <w:link w:val="Al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AB662B"/>
    <w:rPr>
      <w:rFonts w:ascii="Times New Roman" w:eastAsia="Times New Roman" w:hAnsi="Times New Roman" w:cs="Times New Roman"/>
      <w:sz w:val="24"/>
      <w:szCs w:val="24"/>
      <w:lang w:eastAsia="tr-TR"/>
    </w:rPr>
  </w:style>
  <w:style w:type="character" w:styleId="SayfaNumaras">
    <w:name w:val="page number"/>
    <w:basedOn w:val="VarsaylanParagrafYazTipi"/>
    <w:rsid w:val="00AB662B"/>
  </w:style>
  <w:style w:type="paragraph" w:styleId="stbilgi">
    <w:name w:val="header"/>
    <w:basedOn w:val="Normal"/>
    <w:link w:val="stbilgiChar"/>
    <w:uiPriority w:val="99"/>
    <w:rsid w:val="00AB662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AB662B"/>
    <w:rPr>
      <w:rFonts w:ascii="Times New Roman" w:eastAsia="Times New Roman" w:hAnsi="Times New Roman" w:cs="Times New Roman"/>
      <w:sz w:val="24"/>
      <w:szCs w:val="24"/>
      <w:lang w:eastAsia="tr-TR"/>
    </w:rPr>
  </w:style>
  <w:style w:type="table" w:styleId="TabloKlavuz8">
    <w:name w:val="Table Grid 8"/>
    <w:basedOn w:val="TabloListe7"/>
    <w:rsid w:val="00AB662B"/>
    <w:tblPr>
      <w:tblStyleRowBandSize w:val="1"/>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8000"/>
          <w:tl2br w:val="none" w:sz="0" w:space="0" w:color="auto"/>
          <w:tr2bl w:val="none" w:sz="0" w:space="0" w:color="auto"/>
        </w:tcBorders>
        <w:shd w:val="solid" w:color="000080" w:fill="FFFFFF"/>
      </w:tcPr>
    </w:tblStylePr>
    <w:tblStylePr w:type="lastRow">
      <w:rPr>
        <w:b/>
        <w:bCs/>
        <w:color w:val="auto"/>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sik3">
    <w:name w:val="Table Classic 3"/>
    <w:basedOn w:val="NormalTablo"/>
    <w:rsid w:val="00AB662B"/>
    <w:pPr>
      <w:spacing w:after="0" w:line="240" w:lineRule="auto"/>
    </w:pPr>
    <w:rPr>
      <w:rFonts w:ascii="Times New Roman" w:eastAsia="Times New Roman" w:hAnsi="Times New Roman" w:cs="Times New Roman"/>
      <w:color w:val="000080"/>
      <w:sz w:val="20"/>
      <w:szCs w:val="20"/>
      <w:lang w:eastAsia="tr-T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Liste7">
    <w:name w:val="Table List 7"/>
    <w:basedOn w:val="NormalTablo"/>
    <w:rsid w:val="00AB662B"/>
    <w:pPr>
      <w:spacing w:after="0" w:line="240" w:lineRule="auto"/>
    </w:pPr>
    <w:rPr>
      <w:rFonts w:ascii="Times New Roman" w:eastAsia="Times New Roman" w:hAnsi="Times New Roman" w:cs="Times New Roman"/>
      <w:sz w:val="20"/>
      <w:szCs w:val="20"/>
      <w:lang w:eastAsia="tr-T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Klavuz2">
    <w:name w:val="Table Grid 2"/>
    <w:basedOn w:val="NormalTablo"/>
    <w:rsid w:val="00AB662B"/>
    <w:pPr>
      <w:spacing w:after="0" w:line="240" w:lineRule="auto"/>
    </w:pPr>
    <w:rPr>
      <w:rFonts w:ascii="Times New Roman" w:eastAsia="Times New Roman" w:hAnsi="Times New Roman" w:cs="Times New Roman"/>
      <w:sz w:val="20"/>
      <w:szCs w:val="20"/>
      <w:lang w:eastAsia="tr-TR"/>
    </w:rPr>
    <w:tblPr>
      <w:tblStyleRowBandSize w:val="3"/>
      <w:tblStyleColBandSize w:val="3"/>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onMetni">
    <w:name w:val="Balloon Text"/>
    <w:basedOn w:val="Normal"/>
    <w:link w:val="BalonMetniChar"/>
    <w:rsid w:val="00AB662B"/>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AB662B"/>
    <w:rPr>
      <w:rFonts w:ascii="Tahoma" w:eastAsia="Times New Roman" w:hAnsi="Tahoma" w:cs="Tahoma"/>
      <w:sz w:val="16"/>
      <w:szCs w:val="16"/>
      <w:lang w:eastAsia="tr-TR"/>
    </w:rPr>
  </w:style>
  <w:style w:type="table" w:styleId="OrtaKlavuz3-Vurgu5">
    <w:name w:val="Medium Grid 3 Accent 5"/>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1-Vurgu1">
    <w:name w:val="Medium Grid 1 Accent 1"/>
    <w:basedOn w:val="NormalTablo"/>
    <w:uiPriority w:val="67"/>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3-Vurgu1">
    <w:name w:val="Medium Grid 3 Accent 1"/>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Klavuz-Vurgu2">
    <w:name w:val="Light Grid Accent 2"/>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5">
    <w:name w:val="Light Grid Accent 5"/>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3">
    <w:name w:val="Light Grid Accent 3"/>
    <w:basedOn w:val="NormalTablo"/>
    <w:uiPriority w:val="62"/>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3-Vurgu3">
    <w:name w:val="Medium Grid 3 Accent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Glgeleme1-Vurgu3">
    <w:name w:val="Medium Shading 1 Accent 3"/>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
    <w:name w:val="Medium Grid 3"/>
    <w:basedOn w:val="NormalTablo"/>
    <w:uiPriority w:val="69"/>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Glgeleme1-Vurgu1">
    <w:name w:val="Medium Shading 1 Accent 1"/>
    <w:basedOn w:val="NormalTablo"/>
    <w:uiPriority w:val="63"/>
    <w:rsid w:val="00AB662B"/>
    <w:pPr>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Gl">
    <w:name w:val="Strong"/>
    <w:uiPriority w:val="22"/>
    <w:qFormat/>
    <w:rsid w:val="00AB662B"/>
    <w:rPr>
      <w:b/>
      <w:bCs/>
    </w:rPr>
  </w:style>
  <w:style w:type="paragraph" w:styleId="ListeParagraf">
    <w:name w:val="List Paragraph"/>
    <w:basedOn w:val="Normal"/>
    <w:uiPriority w:val="34"/>
    <w:qFormat/>
    <w:rsid w:val="00A2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footer" Target="footer2.xml"/><Relationship Id="rId19" Type="http://schemas.openxmlformats.org/officeDocument/2006/relationships/chart" Target="charts/chart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file:///\\Paylas\DATA\Mali%20Hizmetler%20M&#252;d&#252;rl&#252;&#287;&#252;\ABDULKER&#304;M%20G&#220;NG&#214;R\ilk%20alt&#305;%20ay%20rapor\2018%20&#304;lk%20Alt&#305;%20Ay%20Gelir%20Gider.xls" TargetMode="External"/><Relationship Id="rId1" Type="http://schemas.openxmlformats.org/officeDocument/2006/relationships/image" Target="../media/image1.jpeg"/></Relationships>
</file>

<file path=word/charts/_rels/chart18.xml.rels><?xml version="1.0" encoding="UTF-8" standalone="yes"?>
<Relationships xmlns="http://schemas.openxmlformats.org/package/2006/relationships"><Relationship Id="rId2" Type="http://schemas.openxmlformats.org/officeDocument/2006/relationships/oleObject" Target="file:///\\Paylas\DATA\Mali%20Hizmetler%20M&#252;d&#252;rl&#252;&#287;&#252;\ABDULKER&#304;M%20G&#220;NG&#214;R\ilk%20alt&#305;%20ay%20rapor\2018%20&#304;lk%20Alt&#305;%20Ay%20Gelir%20Gider.xls"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Paylas\DATA\Mali%20Hizmetler%20M&#252;d&#252;rl&#252;&#287;&#252;\ABDULKER&#304;M%20G&#220;NG&#214;R\ilk%20alt&#305;%20ay%20rapor\2018%20&#304;lk%20Alt&#305;%20Ay%20Gelir%20Gide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GELİR</a:t>
            </a:r>
          </a:p>
        </c:rich>
      </c:tx>
      <c:layout>
        <c:manualLayout>
          <c:xMode val="edge"/>
          <c:yMode val="edge"/>
          <c:x val="0.77536231884057971"/>
          <c:y val="3.5759897828863345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18322981366459629"/>
          <c:y val="0.11111152684808596"/>
          <c:w val="0.64596273291925466"/>
          <c:h val="0.63218627344600642"/>
        </c:manualLayout>
      </c:layout>
      <c:pie3DChart>
        <c:varyColors val="1"/>
        <c:ser>
          <c:idx val="0"/>
          <c:order val="0"/>
          <c:explosion val="25"/>
          <c:dPt>
            <c:idx val="0"/>
            <c:bubble3D val="0"/>
            <c:spPr>
              <a:ln>
                <a:solidFill>
                  <a:srgbClr val="000000"/>
                </a:solidFill>
              </a:ln>
            </c:spPr>
          </c:dPt>
          <c:dPt>
            <c:idx val="1"/>
            <c:bubble3D val="0"/>
            <c:spPr>
              <a:ln>
                <a:solidFill>
                  <a:srgbClr val="000000"/>
                </a:solidFill>
              </a:ln>
            </c:spPr>
          </c:dPt>
          <c:dPt>
            <c:idx val="2"/>
            <c:bubble3D val="0"/>
          </c:dPt>
          <c:dPt>
            <c:idx val="3"/>
            <c:bubble3D val="0"/>
          </c:dPt>
          <c:dLbls>
            <c:dLbl>
              <c:idx val="0"/>
              <c:layout>
                <c:manualLayout>
                  <c:x val="-4.9336985050781698E-2"/>
                  <c:y val="-8.6603312516969858E-2"/>
                </c:manualLayout>
              </c:layout>
              <c:dLblPos val="bestFit"/>
              <c:showLegendKey val="0"/>
              <c:showVal val="1"/>
              <c:showCatName val="0"/>
              <c:showSerName val="0"/>
              <c:showPercent val="0"/>
              <c:showBubbleSize val="0"/>
            </c:dLbl>
            <c:dLbl>
              <c:idx val="1"/>
              <c:layout>
                <c:manualLayout>
                  <c:x val="6.2333675681844114E-2"/>
                  <c:y val="8.83989501312335E-2"/>
                </c:manualLayout>
              </c:layout>
              <c:numFmt formatCode="#,##0.00" sourceLinked="0"/>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dLblPos val="bestFit"/>
              <c:showLegendKey val="0"/>
              <c:showVal val="1"/>
              <c:showCatName val="0"/>
              <c:showSerName val="0"/>
              <c:showPercent val="0"/>
              <c:showBubbleSize val="0"/>
            </c:dLbl>
            <c:dLbl>
              <c:idx val="2"/>
              <c:layout>
                <c:manualLayout>
                  <c:x val="0.15864315873559284"/>
                  <c:y val="-0.29927534920203941"/>
                </c:manualLayout>
              </c:layout>
              <c:dLblPos val="bestFit"/>
              <c:showLegendKey val="0"/>
              <c:showVal val="1"/>
              <c:showCatName val="0"/>
              <c:showSerName val="0"/>
              <c:showPercent val="0"/>
              <c:showBubbleSize val="0"/>
            </c:dLbl>
            <c:dLbl>
              <c:idx val="3"/>
              <c:layout>
                <c:manualLayout>
                  <c:x val="-0.1374230938523989"/>
                  <c:y val="-0.47041200309731396"/>
                </c:manualLayout>
              </c:layout>
              <c:spPr>
                <a:scene3d>
                  <a:camera prst="orthographicFront"/>
                  <a:lightRig rig="threePt" dir="t"/>
                </a:scene3d>
                <a:sp3d>
                  <a:bevelB/>
                </a:sp3d>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dLbl>
            <c:spPr>
              <a:scene3d>
                <a:camera prst="orthographicFront"/>
                <a:lightRig rig="threePt" dir="t"/>
              </a:scene3d>
              <a:sp3d>
                <a:bevelB/>
              </a:sp3d>
            </c:spPr>
            <c:txPr>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dLbls>
          <c:cat>
            <c:strRef>
              <c:f>'tablo-1'!$B$4:$E$4</c:f>
              <c:strCache>
                <c:ptCount val="3"/>
                <c:pt idx="0">
                  <c:v>BÜTÇE</c:v>
                </c:pt>
                <c:pt idx="1">
                  <c:v>GERÇEKLEŞME</c:v>
                </c:pt>
                <c:pt idx="2">
                  <c:v>%</c:v>
                </c:pt>
              </c:strCache>
            </c:strRef>
          </c:cat>
          <c:val>
            <c:numRef>
              <c:f>'tablo-1'!$B$5:$E$5</c:f>
              <c:numCache>
                <c:formatCode>#,##0.00</c:formatCode>
                <c:ptCount val="4"/>
                <c:pt idx="0">
                  <c:v>252000000</c:v>
                </c:pt>
                <c:pt idx="1">
                  <c:v>87190073.950000003</c:v>
                </c:pt>
                <c:pt idx="2" formatCode="%\ 0.00">
                  <c:v>0.34599235694444447</c:v>
                </c:pt>
                <c:pt idx="3" formatCode="%\ 0.00">
                  <c:v>0.65400764305555559</c:v>
                </c:pt>
              </c:numCache>
            </c:numRef>
          </c:val>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0496894409937888"/>
          <c:y val="0.86462646192214476"/>
          <c:w val="0.54592800899887517"/>
          <c:h val="9.2377590732192982E-2"/>
        </c:manualLayout>
      </c:layout>
      <c:overlay val="0"/>
      <c:spPr>
        <a:solidFill>
          <a:schemeClr val="bg1"/>
        </a:solidFill>
        <a:ln>
          <a:solidFill>
            <a:srgbClr val="000000"/>
          </a:solidFill>
        </a:ln>
      </c:spPr>
      <c:txPr>
        <a:bodyPr/>
        <a:lstStyle/>
        <a:p>
          <a:pPr>
            <a:defRPr sz="920" b="1" i="0" u="none" strike="noStrike" baseline="0">
              <a:solidFill>
                <a:srgbClr val="000000"/>
              </a:solidFill>
              <a:latin typeface="Arial"/>
              <a:ea typeface="Arial"/>
              <a:cs typeface="Arial"/>
            </a:defRPr>
          </a:pPr>
          <a:endParaRPr lang="tr-TR"/>
        </a:p>
      </c:txPr>
    </c:legend>
    <c:plotVisOnly val="1"/>
    <c:dispBlanksAs val="zero"/>
    <c:showDLblsOverMax val="0"/>
  </c:chart>
  <c:spPr>
    <a:gradFill flip="none" rotWithShape="1">
      <a:gsLst>
        <a:gs pos="0">
          <a:srgbClr val="FFFFFF"/>
        </a:gs>
        <a:gs pos="7001">
          <a:srgbClr val="E6E6E6"/>
        </a:gs>
        <a:gs pos="32001">
          <a:srgbClr val="7D8496"/>
        </a:gs>
        <a:gs pos="47000">
          <a:srgbClr val="E6E6E6"/>
        </a:gs>
        <a:gs pos="85001">
          <a:srgbClr val="7D8496"/>
        </a:gs>
        <a:gs pos="100000">
          <a:srgbClr val="E6E6E6"/>
        </a:gs>
      </a:gsLst>
      <a:lin ang="5400000" scaled="0"/>
      <a:tileRect/>
    </a:gradFill>
    <a:ln w="3175">
      <a:solidFill>
        <a:srgbClr val="000000">
          <a:alpha val="59000"/>
        </a:srgbClr>
      </a:solidFill>
    </a:ln>
    <a:effectLst>
      <a:innerShdw blurRad="63500" dist="50800" dir="2700000">
        <a:prstClr val="black">
          <a:alpha val="50000"/>
        </a:prstClr>
      </a:innerShdw>
    </a:effectLst>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MAL VE HİZMET ALIM GİDERLERİ</a:t>
            </a:r>
          </a:p>
        </c:rich>
      </c:tx>
      <c:layout>
        <c:manualLayout>
          <c:xMode val="edge"/>
          <c:yMode val="edge"/>
          <c:x val="0.29892157933262964"/>
          <c:y val="3.6544850498338874E-2"/>
        </c:manualLayout>
      </c:layout>
      <c:overlay val="0"/>
      <c:spPr>
        <a:noFill/>
        <a:ln w="25400">
          <a:noFill/>
        </a:ln>
      </c:spPr>
    </c:title>
    <c:autoTitleDeleted val="0"/>
    <c:plotArea>
      <c:layout>
        <c:manualLayout>
          <c:layoutTarget val="inner"/>
          <c:xMode val="edge"/>
          <c:yMode val="edge"/>
          <c:x val="8.4745826471183491E-2"/>
          <c:y val="0.22591398773941637"/>
          <c:w val="0.89368326096884398"/>
          <c:h val="0.52491779504158509"/>
        </c:manualLayout>
      </c:layout>
      <c:lineChart>
        <c:grouping val="standard"/>
        <c:varyColors val="0"/>
        <c:ser>
          <c:idx val="0"/>
          <c:order val="0"/>
          <c:tx>
            <c:strRef>
              <c:f>mal_hizm!$E$1</c:f>
              <c:strCache>
                <c:ptCount val="1"/>
                <c:pt idx="0">
                  <c:v>2017</c:v>
                </c:pt>
              </c:strCache>
            </c:strRef>
          </c:tx>
          <c:spPr>
            <a:ln w="38100">
              <a:solidFill>
                <a:schemeClr val="accent1"/>
              </a:solidFill>
              <a:prstDash val="solid"/>
            </a:ln>
          </c:spPr>
          <c:marker>
            <c:symbol val="diamond"/>
            <c:size val="5"/>
            <c:spPr>
              <a:solidFill>
                <a:schemeClr val="accent1"/>
              </a:solidFill>
              <a:ln>
                <a:solidFill>
                  <a:schemeClr val="accent1"/>
                </a:solidFill>
                <a:prstDash val="solid"/>
              </a:ln>
            </c:spPr>
          </c:marker>
          <c:dLbls>
            <c:dLbl>
              <c:idx val="0"/>
              <c:layout>
                <c:manualLayout>
                  <c:x val="-4.2968845601467397E-3"/>
                  <c:y val="-5.3701299431217826E-2"/>
                </c:manualLayout>
              </c:layout>
              <c:dLblPos val="r"/>
              <c:showLegendKey val="0"/>
              <c:showVal val="1"/>
              <c:showCatName val="0"/>
              <c:showSerName val="0"/>
              <c:showPercent val="0"/>
              <c:showBubbleSize val="0"/>
            </c:dLbl>
            <c:spPr>
              <a:noFill/>
              <a:ln w="25400">
                <a:noFill/>
              </a:ln>
            </c:spPr>
            <c:txPr>
              <a:bodyPr/>
              <a:lstStyle/>
              <a:p>
                <a:pPr>
                  <a:defRPr sz="1050" b="1" i="0" u="none" strike="noStrike" baseline="0">
                    <a:solidFill>
                      <a:schemeClr val="accent1"/>
                    </a:solidFill>
                    <a:latin typeface="Arial Tur"/>
                    <a:ea typeface="Arial Tur"/>
                    <a:cs typeface="Arial Tur"/>
                  </a:defRPr>
                </a:pPr>
                <a:endParaRPr lang="tr-TR"/>
              </a:p>
            </c:txPr>
            <c:dLblPos val="t"/>
            <c:showLegendKey val="0"/>
            <c:showVal val="1"/>
            <c:showCatName val="0"/>
            <c:showSerName val="0"/>
            <c:showPercent val="0"/>
            <c:showBubbleSize val="0"/>
            <c:showLeaderLines val="0"/>
          </c:dLbls>
          <c:cat>
            <c:strRef>
              <c:f>mal_hizm!$D$2:$D$7</c:f>
              <c:strCache>
                <c:ptCount val="6"/>
                <c:pt idx="0">
                  <c:v>OCAK</c:v>
                </c:pt>
                <c:pt idx="1">
                  <c:v>ŞUBAT</c:v>
                </c:pt>
                <c:pt idx="2">
                  <c:v>MART</c:v>
                </c:pt>
                <c:pt idx="3">
                  <c:v>NİSAN</c:v>
                </c:pt>
                <c:pt idx="4">
                  <c:v>MAYIS</c:v>
                </c:pt>
                <c:pt idx="5">
                  <c:v>HAZİRAN</c:v>
                </c:pt>
              </c:strCache>
            </c:strRef>
          </c:cat>
          <c:val>
            <c:numRef>
              <c:f>mal_hizm!$E$2:$E$7</c:f>
              <c:numCache>
                <c:formatCode>0%</c:formatCode>
                <c:ptCount val="6"/>
                <c:pt idx="0">
                  <c:v>2.5718038814923752E-2</c:v>
                </c:pt>
                <c:pt idx="1">
                  <c:v>7.0527907002544868E-2</c:v>
                </c:pt>
                <c:pt idx="2">
                  <c:v>0.25933829223945981</c:v>
                </c:pt>
                <c:pt idx="3">
                  <c:v>0.15060606901143914</c:v>
                </c:pt>
                <c:pt idx="4">
                  <c:v>0.23434553707918865</c:v>
                </c:pt>
                <c:pt idx="5">
                  <c:v>0.25946415585244381</c:v>
                </c:pt>
              </c:numCache>
            </c:numRef>
          </c:val>
          <c:smooth val="0"/>
        </c:ser>
        <c:ser>
          <c:idx val="1"/>
          <c:order val="1"/>
          <c:tx>
            <c:strRef>
              <c:f>mal_hizm!$F$1</c:f>
              <c:strCache>
                <c:ptCount val="1"/>
                <c:pt idx="0">
                  <c:v>2018</c:v>
                </c:pt>
              </c:strCache>
            </c:strRef>
          </c:tx>
          <c:spPr>
            <a:ln w="38100">
              <a:solidFill>
                <a:schemeClr val="accent2"/>
              </a:solidFill>
              <a:prstDash val="solid"/>
            </a:ln>
          </c:spPr>
          <c:marker>
            <c:symbol val="square"/>
            <c:size val="4"/>
            <c:spPr>
              <a:solidFill>
                <a:schemeClr val="accent2"/>
              </a:solidFill>
              <a:ln>
                <a:solidFill>
                  <a:schemeClr val="accent2"/>
                </a:solidFill>
                <a:prstDash val="solid"/>
              </a:ln>
            </c:spPr>
          </c:marker>
          <c:dLbls>
            <c:dLbl>
              <c:idx val="0"/>
              <c:layout>
                <c:manualLayout>
                  <c:x val="-4.6494232650909205E-2"/>
                  <c:y val="2.916519131764124E-2"/>
                </c:manualLayout>
              </c:layout>
              <c:dLblPos val="r"/>
              <c:showLegendKey val="0"/>
              <c:showVal val="1"/>
              <c:showCatName val="0"/>
              <c:showSerName val="0"/>
              <c:showPercent val="0"/>
              <c:showBubbleSize val="0"/>
            </c:dLbl>
            <c:spPr>
              <a:noFill/>
              <a:ln w="25400">
                <a:noFill/>
              </a:ln>
            </c:spPr>
            <c:txPr>
              <a:bodyPr/>
              <a:lstStyle/>
              <a:p>
                <a:pPr>
                  <a:defRPr sz="1050" b="1" i="0" u="none" strike="noStrike" baseline="0">
                    <a:solidFill>
                      <a:schemeClr val="accent2"/>
                    </a:solidFill>
                    <a:latin typeface="Arial Tur"/>
                    <a:ea typeface="Arial Tur"/>
                    <a:cs typeface="Arial Tur"/>
                  </a:defRPr>
                </a:pPr>
                <a:endParaRPr lang="tr-TR"/>
              </a:p>
            </c:txPr>
            <c:dLblPos val="b"/>
            <c:showLegendKey val="0"/>
            <c:showVal val="1"/>
            <c:showCatName val="0"/>
            <c:showSerName val="0"/>
            <c:showPercent val="0"/>
            <c:showBubbleSize val="0"/>
            <c:showLeaderLines val="0"/>
          </c:dLbls>
          <c:cat>
            <c:strRef>
              <c:f>mal_hizm!$D$2:$D$7</c:f>
              <c:strCache>
                <c:ptCount val="6"/>
                <c:pt idx="0">
                  <c:v>OCAK</c:v>
                </c:pt>
                <c:pt idx="1">
                  <c:v>ŞUBAT</c:v>
                </c:pt>
                <c:pt idx="2">
                  <c:v>MART</c:v>
                </c:pt>
                <c:pt idx="3">
                  <c:v>NİSAN</c:v>
                </c:pt>
                <c:pt idx="4">
                  <c:v>MAYIS</c:v>
                </c:pt>
                <c:pt idx="5">
                  <c:v>HAZİRAN</c:v>
                </c:pt>
              </c:strCache>
            </c:strRef>
          </c:cat>
          <c:val>
            <c:numRef>
              <c:f>mal_hizm!$F$2:$F$7</c:f>
              <c:numCache>
                <c:formatCode>0%</c:formatCode>
                <c:ptCount val="6"/>
                <c:pt idx="0">
                  <c:v>8.1950520509262617E-2</c:v>
                </c:pt>
                <c:pt idx="1">
                  <c:v>0.17266496417795779</c:v>
                </c:pt>
                <c:pt idx="2">
                  <c:v>0.1613380127295041</c:v>
                </c:pt>
                <c:pt idx="3">
                  <c:v>0.11984158149522421</c:v>
                </c:pt>
                <c:pt idx="4">
                  <c:v>0.21396956891064151</c:v>
                </c:pt>
                <c:pt idx="5">
                  <c:v>0.25023535217740978</c:v>
                </c:pt>
              </c:numCache>
            </c:numRef>
          </c:val>
          <c:smooth val="0"/>
        </c:ser>
        <c:dLbls>
          <c:showLegendKey val="0"/>
          <c:showVal val="0"/>
          <c:showCatName val="0"/>
          <c:showSerName val="0"/>
          <c:showPercent val="0"/>
          <c:showBubbleSize val="0"/>
        </c:dLbls>
        <c:marker val="1"/>
        <c:smooth val="0"/>
        <c:axId val="174081920"/>
        <c:axId val="174083456"/>
      </c:lineChart>
      <c:catAx>
        <c:axId val="1740819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Tur"/>
                <a:ea typeface="Arial Tur"/>
                <a:cs typeface="Arial Tur"/>
              </a:defRPr>
            </a:pPr>
            <a:endParaRPr lang="tr-TR"/>
          </a:p>
        </c:txPr>
        <c:crossAx val="174083456"/>
        <c:crosses val="autoZero"/>
        <c:auto val="1"/>
        <c:lblAlgn val="ctr"/>
        <c:lblOffset val="100"/>
        <c:tickLblSkip val="1"/>
        <c:tickMarkSkip val="1"/>
        <c:noMultiLvlLbl val="0"/>
      </c:catAx>
      <c:valAx>
        <c:axId val="174083456"/>
        <c:scaling>
          <c:orientation val="minMax"/>
        </c:scaling>
        <c:delete val="0"/>
        <c:axPos val="l"/>
        <c:majorGridlines>
          <c:spPr>
            <a:ln w="3175">
              <a:solidFill>
                <a:schemeClr val="tx1">
                  <a:lumMod val="50000"/>
                  <a:lumOff val="50000"/>
                </a:schemeClr>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Tur"/>
                <a:ea typeface="Arial Tur"/>
                <a:cs typeface="Arial Tur"/>
              </a:defRPr>
            </a:pPr>
            <a:endParaRPr lang="tr-TR"/>
          </a:p>
        </c:txPr>
        <c:crossAx val="174081920"/>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064747299499733"/>
          <c:y val="0.8936891028156364"/>
          <c:w val="0.22033914481799172"/>
          <c:h val="8.3056478405315604E-2"/>
        </c:manualLayout>
      </c:layout>
      <c:overlay val="0"/>
      <c:spPr>
        <a:solidFill>
          <a:srgbClr val="FFFFFF"/>
        </a:solidFill>
        <a:ln w="3175">
          <a:solidFill>
            <a:srgbClr val="000000"/>
          </a:solidFill>
          <a:prstDash val="solid"/>
        </a:ln>
      </c:spPr>
      <c:txPr>
        <a:bodyPr/>
        <a:lstStyle/>
        <a:p>
          <a:pPr>
            <a:defRPr sz="965"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5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MAL VE HİZMET ALIM GİDERLERİ</a:t>
            </a:r>
            <a:endParaRPr lang="en-US"/>
          </a:p>
        </c:rich>
      </c:tx>
      <c:overlay val="0"/>
    </c:title>
    <c:autoTitleDeleted val="0"/>
    <c:plotArea>
      <c:layout/>
      <c:pieChart>
        <c:varyColors val="1"/>
        <c:ser>
          <c:idx val="1"/>
          <c:order val="0"/>
          <c:tx>
            <c:strRef>
              <c:f>'mal_hizm (2)'!$C$2</c:f>
              <c:strCache>
                <c:ptCount val="1"/>
                <c:pt idx="0">
                  <c:v>GERÇEKLEŞEN</c:v>
                </c:pt>
              </c:strCache>
            </c:strRef>
          </c:tx>
          <c:dLbls>
            <c:showLegendKey val="0"/>
            <c:showVal val="0"/>
            <c:showCatName val="0"/>
            <c:showSerName val="0"/>
            <c:showPercent val="1"/>
            <c:showBubbleSize val="0"/>
            <c:showLeaderLines val="1"/>
          </c:dLbls>
          <c:cat>
            <c:strRef>
              <c:f>'mal_hizm (2)'!$A$3:$A$11</c:f>
              <c:strCache>
                <c:ptCount val="9"/>
                <c:pt idx="0">
                  <c:v>ÜRETİME YÖNELİK MAL VE MALZEME ALIMLARI</c:v>
                </c:pt>
                <c:pt idx="1">
                  <c:v>TÜKETİME YÖNELİK MAL VE MALZEME ALIMLARI</c:v>
                </c:pt>
                <c:pt idx="2">
                  <c:v>YOLLUKLAR</c:v>
                </c:pt>
                <c:pt idx="3">
                  <c:v>GÖREV GİDERLERİ</c:v>
                </c:pt>
                <c:pt idx="4">
                  <c:v>HİZMET ALIMLARI</c:v>
                </c:pt>
                <c:pt idx="5">
                  <c:v>TEMSİL VE TANITMA GİDERLERİ</c:v>
                </c:pt>
                <c:pt idx="6">
                  <c:v>MENKUL MAL GAYRİMADDİ HAK ALIM  BAKIM VE ONARIM GİDERLERİ</c:v>
                </c:pt>
                <c:pt idx="7">
                  <c:v>GAYRİMENKUL MAL BAKIM VE ONARIM GİDERLERİ</c:v>
                </c:pt>
                <c:pt idx="8">
                  <c:v>TEDAVİ VE CENAZE GİDERLERİ</c:v>
                </c:pt>
              </c:strCache>
            </c:strRef>
          </c:cat>
          <c:val>
            <c:numRef>
              <c:f>'mal_hizm (2)'!$C$3:$C$11</c:f>
              <c:numCache>
                <c:formatCode>#,##0.00</c:formatCode>
                <c:ptCount val="9"/>
                <c:pt idx="0">
                  <c:v>951524.17</c:v>
                </c:pt>
                <c:pt idx="1">
                  <c:v>9584613.3200000003</c:v>
                </c:pt>
                <c:pt idx="2">
                  <c:v>9535.18</c:v>
                </c:pt>
                <c:pt idx="3">
                  <c:v>321626.90999999997</c:v>
                </c:pt>
                <c:pt idx="4">
                  <c:v>42249292.869999997</c:v>
                </c:pt>
                <c:pt idx="5">
                  <c:v>2706207.22</c:v>
                </c:pt>
                <c:pt idx="6">
                  <c:v>2357955.0699999998</c:v>
                </c:pt>
                <c:pt idx="7">
                  <c:v>400931.87</c:v>
                </c:pt>
                <c:pt idx="8">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298597111554381"/>
          <c:y val="0.14551470345397219"/>
          <c:w val="0.44415819691726599"/>
          <c:h val="0.83103268385449713"/>
        </c:manualLayout>
      </c:layout>
      <c:overlay val="0"/>
    </c:legend>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CARİ TRANSFERLER</a:t>
            </a:r>
          </a:p>
        </c:rich>
      </c:tx>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backWall>
    <c:plotArea>
      <c:layout/>
      <c:bar3DChart>
        <c:barDir val="col"/>
        <c:grouping val="clustered"/>
        <c:varyColors val="0"/>
        <c:ser>
          <c:idx val="0"/>
          <c:order val="0"/>
          <c:tx>
            <c:strRef>
              <c:f>'Cari Tran'!$B$1</c:f>
              <c:strCache>
                <c:ptCount val="1"/>
                <c:pt idx="0">
                  <c:v>2017</c:v>
                </c:pt>
              </c:strCache>
            </c:strRef>
          </c:tx>
          <c:spPr>
            <a:ln w="12700">
              <a:solidFill>
                <a:srgbClr val="000000"/>
              </a:solidFill>
              <a:prstDash val="solid"/>
            </a:ln>
          </c:spPr>
          <c:invertIfNegative val="0"/>
          <c:cat>
            <c:strRef>
              <c:f>'Cari Tran'!$A$2:$A$7</c:f>
              <c:strCache>
                <c:ptCount val="6"/>
                <c:pt idx="0">
                  <c:v>OCAK</c:v>
                </c:pt>
                <c:pt idx="1">
                  <c:v>ŞUBAT</c:v>
                </c:pt>
                <c:pt idx="2">
                  <c:v>MART</c:v>
                </c:pt>
                <c:pt idx="3">
                  <c:v>NİSAN</c:v>
                </c:pt>
                <c:pt idx="4">
                  <c:v>MAYIS</c:v>
                </c:pt>
                <c:pt idx="5">
                  <c:v>HAZİRAN</c:v>
                </c:pt>
              </c:strCache>
            </c:strRef>
          </c:cat>
          <c:val>
            <c:numRef>
              <c:f>'Cari Tran'!$B$2:$B$7</c:f>
              <c:numCache>
                <c:formatCode>#,##0.00</c:formatCode>
                <c:ptCount val="6"/>
                <c:pt idx="0">
                  <c:v>553967.46</c:v>
                </c:pt>
                <c:pt idx="1">
                  <c:v>22689.5</c:v>
                </c:pt>
                <c:pt idx="2">
                  <c:v>960772.51</c:v>
                </c:pt>
                <c:pt idx="3">
                  <c:v>82643.45</c:v>
                </c:pt>
                <c:pt idx="4">
                  <c:v>2935189.54</c:v>
                </c:pt>
                <c:pt idx="5">
                  <c:v>201889.25</c:v>
                </c:pt>
              </c:numCache>
            </c:numRef>
          </c:val>
          <c:shape val="cylinder"/>
        </c:ser>
        <c:ser>
          <c:idx val="1"/>
          <c:order val="1"/>
          <c:tx>
            <c:strRef>
              <c:f>'Cari Tran'!$C$1</c:f>
              <c:strCache>
                <c:ptCount val="1"/>
                <c:pt idx="0">
                  <c:v>2018</c:v>
                </c:pt>
              </c:strCache>
            </c:strRef>
          </c:tx>
          <c:spPr>
            <a:ln w="12700">
              <a:solidFill>
                <a:srgbClr val="000000"/>
              </a:solidFill>
              <a:prstDash val="solid"/>
            </a:ln>
          </c:spPr>
          <c:invertIfNegative val="0"/>
          <c:cat>
            <c:strRef>
              <c:f>'Cari Tran'!$A$2:$A$7</c:f>
              <c:strCache>
                <c:ptCount val="6"/>
                <c:pt idx="0">
                  <c:v>OCAK</c:v>
                </c:pt>
                <c:pt idx="1">
                  <c:v>ŞUBAT</c:v>
                </c:pt>
                <c:pt idx="2">
                  <c:v>MART</c:v>
                </c:pt>
                <c:pt idx="3">
                  <c:v>NİSAN</c:v>
                </c:pt>
                <c:pt idx="4">
                  <c:v>MAYIS</c:v>
                </c:pt>
                <c:pt idx="5">
                  <c:v>HAZİRAN</c:v>
                </c:pt>
              </c:strCache>
            </c:strRef>
          </c:cat>
          <c:val>
            <c:numRef>
              <c:f>'Cari Tran'!$C$2:$C$7</c:f>
              <c:numCache>
                <c:formatCode>#,##0.00</c:formatCode>
                <c:ptCount val="6"/>
                <c:pt idx="0">
                  <c:v>561480.94999999995</c:v>
                </c:pt>
                <c:pt idx="1">
                  <c:v>971033.3</c:v>
                </c:pt>
                <c:pt idx="2">
                  <c:v>381707.13</c:v>
                </c:pt>
                <c:pt idx="3">
                  <c:v>334702.7</c:v>
                </c:pt>
                <c:pt idx="4">
                  <c:v>199128.68</c:v>
                </c:pt>
                <c:pt idx="5">
                  <c:v>1069083.6299999999</c:v>
                </c:pt>
              </c:numCache>
            </c:numRef>
          </c:val>
          <c:shape val="cylinder"/>
        </c:ser>
        <c:dLbls>
          <c:showLegendKey val="0"/>
          <c:showVal val="0"/>
          <c:showCatName val="0"/>
          <c:showSerName val="0"/>
          <c:showPercent val="0"/>
          <c:showBubbleSize val="0"/>
        </c:dLbls>
        <c:gapWidth val="150"/>
        <c:shape val="box"/>
        <c:axId val="174144512"/>
        <c:axId val="174146304"/>
        <c:axId val="0"/>
      </c:bar3DChart>
      <c:catAx>
        <c:axId val="174144512"/>
        <c:scaling>
          <c:orientation val="minMax"/>
        </c:scaling>
        <c:delete val="0"/>
        <c:axPos val="b"/>
        <c:numFmt formatCode="0.00" sourceLinked="0"/>
        <c:majorTickMark val="none"/>
        <c:minorTickMark val="none"/>
        <c:tickLblPos val="low"/>
        <c:spPr>
          <a:ln w="3175">
            <a:solidFill>
              <a:srgbClr val="000000"/>
            </a:solidFill>
            <a:prstDash val="solid"/>
          </a:ln>
        </c:spPr>
        <c:txPr>
          <a:bodyPr rot="0" vert="horz"/>
          <a:lstStyle/>
          <a:p>
            <a:pPr>
              <a:defRPr/>
            </a:pPr>
            <a:endParaRPr lang="tr-TR"/>
          </a:p>
        </c:txPr>
        <c:crossAx val="174146304"/>
        <c:crosses val="autoZero"/>
        <c:auto val="1"/>
        <c:lblAlgn val="ctr"/>
        <c:lblOffset val="100"/>
        <c:tickLblSkip val="1"/>
        <c:tickMarkSkip val="1"/>
        <c:noMultiLvlLbl val="0"/>
      </c:catAx>
      <c:valAx>
        <c:axId val="174146304"/>
        <c:scaling>
          <c:orientation val="minMax"/>
        </c:scaling>
        <c:delete val="0"/>
        <c:axPos val="l"/>
        <c:majorGridlines>
          <c:spPr>
            <a:ln w="3175">
              <a:solidFill>
                <a:srgbClr val="000000"/>
              </a:solidFill>
              <a:prstDash val="sysDash"/>
            </a:ln>
          </c:spPr>
        </c:majorGridlines>
        <c:numFmt formatCode="#,##0.00" sourceLinked="1"/>
        <c:majorTickMark val="none"/>
        <c:minorTickMark val="none"/>
        <c:tickLblPos val="nextTo"/>
        <c:crossAx val="174144512"/>
        <c:crosses val="autoZero"/>
        <c:crossBetween val="between"/>
      </c:valAx>
      <c:dTable>
        <c:showHorzBorder val="1"/>
        <c:showVertBorder val="1"/>
        <c:showOutline val="1"/>
        <c:showKeys val="1"/>
      </c:dTable>
      <c:spPr>
        <a:noFill/>
        <a:ln w="25400">
          <a:noFill/>
        </a:ln>
      </c:spPr>
    </c:plotArea>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CARİ TRANSFERLER</a:t>
            </a:r>
          </a:p>
        </c:rich>
      </c:tx>
      <c:layout>
        <c:manualLayout>
          <c:xMode val="edge"/>
          <c:yMode val="edge"/>
          <c:x val="0.34603658536585363"/>
          <c:y val="3.273809523809524E-2"/>
        </c:manualLayout>
      </c:layout>
      <c:overlay val="0"/>
    </c:title>
    <c:autoTitleDeleted val="0"/>
    <c:plotArea>
      <c:layout>
        <c:manualLayout>
          <c:layoutTarget val="inner"/>
          <c:xMode val="edge"/>
          <c:yMode val="edge"/>
          <c:x val="7.926829268292683E-2"/>
          <c:y val="0.22321493447420968"/>
          <c:w val="0.90193089430894313"/>
          <c:h val="0.55654923662236278"/>
        </c:manualLayout>
      </c:layout>
      <c:lineChart>
        <c:grouping val="standard"/>
        <c:varyColors val="0"/>
        <c:ser>
          <c:idx val="0"/>
          <c:order val="0"/>
          <c:tx>
            <c:strRef>
              <c:f>'Cari Tran'!$E$1</c:f>
              <c:strCache>
                <c:ptCount val="1"/>
                <c:pt idx="0">
                  <c:v>2017</c:v>
                </c:pt>
              </c:strCache>
            </c:strRef>
          </c:tx>
          <c:dLbls>
            <c:dLbl>
              <c:idx val="0"/>
              <c:layout>
                <c:manualLayout>
                  <c:x val="-6.544922102771647E-2"/>
                  <c:y val="3.8960986630620725E-2"/>
                </c:manualLayout>
              </c:layout>
              <c:dLblPos val="r"/>
              <c:showLegendKey val="0"/>
              <c:showVal val="1"/>
              <c:showCatName val="0"/>
              <c:showSerName val="0"/>
              <c:showPercent val="0"/>
              <c:showBubbleSize val="0"/>
            </c:dLbl>
            <c:dLbl>
              <c:idx val="3"/>
              <c:layout>
                <c:manualLayout>
                  <c:x val="-1.3815122119696611E-3"/>
                  <c:y val="-3.1895204746806897E-2"/>
                </c:manualLayout>
              </c:layout>
              <c:dLblPos val="r"/>
              <c:showLegendKey val="0"/>
              <c:showVal val="1"/>
              <c:showCatName val="0"/>
              <c:showSerName val="0"/>
              <c:showPercent val="0"/>
              <c:showBubbleSize val="0"/>
            </c:dLbl>
            <c:dLbl>
              <c:idx val="4"/>
              <c:layout>
                <c:manualLayout>
                  <c:x val="-7.5607399056905153E-2"/>
                  <c:y val="-2.7958749670283143E-2"/>
                </c:manualLayout>
              </c:layout>
              <c:dLblPos val="r"/>
              <c:showLegendKey val="0"/>
              <c:showVal val="1"/>
              <c:showCatName val="0"/>
              <c:showSerName val="0"/>
              <c:showPercent val="0"/>
              <c:showBubbleSize val="0"/>
            </c:dLbl>
            <c:txPr>
              <a:bodyPr/>
              <a:lstStyle/>
              <a:p>
                <a:pPr>
                  <a:defRPr b="1">
                    <a:solidFill>
                      <a:schemeClr val="accent1"/>
                    </a:solidFill>
                  </a:defRPr>
                </a:pPr>
                <a:endParaRPr lang="tr-TR"/>
              </a:p>
            </c:txPr>
            <c:dLblPos val="t"/>
            <c:showLegendKey val="0"/>
            <c:showVal val="1"/>
            <c:showCatName val="0"/>
            <c:showSerName val="0"/>
            <c:showPercent val="0"/>
            <c:showBubbleSize val="0"/>
            <c:showLeaderLines val="0"/>
          </c:dLbls>
          <c:cat>
            <c:strRef>
              <c:f>'Cari Tran'!$D$2:$D$7</c:f>
              <c:strCache>
                <c:ptCount val="6"/>
                <c:pt idx="0">
                  <c:v>OCAK</c:v>
                </c:pt>
                <c:pt idx="1">
                  <c:v>ŞUBAT</c:v>
                </c:pt>
                <c:pt idx="2">
                  <c:v>MART</c:v>
                </c:pt>
                <c:pt idx="3">
                  <c:v>NİSAN</c:v>
                </c:pt>
                <c:pt idx="4">
                  <c:v>MAYIS</c:v>
                </c:pt>
                <c:pt idx="5">
                  <c:v>HAZİRAN</c:v>
                </c:pt>
              </c:strCache>
            </c:strRef>
          </c:cat>
          <c:val>
            <c:numRef>
              <c:f>'Cari Tran'!$E$2:$E$7</c:f>
              <c:numCache>
                <c:formatCode>0%</c:formatCode>
                <c:ptCount val="6"/>
                <c:pt idx="0">
                  <c:v>0.11644939950842979</c:v>
                </c:pt>
                <c:pt idx="1">
                  <c:v>4.7695556886076266E-3</c:v>
                </c:pt>
                <c:pt idx="2">
                  <c:v>0.20196381544451522</c:v>
                </c:pt>
                <c:pt idx="3">
                  <c:v>1.7372464667518454E-2</c:v>
                </c:pt>
                <c:pt idx="4">
                  <c:v>0.61700566198676055</c:v>
                </c:pt>
                <c:pt idx="5">
                  <c:v>4.2439102704168334E-2</c:v>
                </c:pt>
              </c:numCache>
            </c:numRef>
          </c:val>
          <c:smooth val="0"/>
        </c:ser>
        <c:ser>
          <c:idx val="1"/>
          <c:order val="1"/>
          <c:tx>
            <c:strRef>
              <c:f>'Cari Tran'!$F$1</c:f>
              <c:strCache>
                <c:ptCount val="1"/>
                <c:pt idx="0">
                  <c:v>2018</c:v>
                </c:pt>
              </c:strCache>
            </c:strRef>
          </c:tx>
          <c:dLbls>
            <c:dLbl>
              <c:idx val="0"/>
              <c:layout>
                <c:manualLayout>
                  <c:x val="-2.4816508910961731E-2"/>
                  <c:y val="-3.1088076477573209E-2"/>
                </c:manualLayout>
              </c:layout>
              <c:dLblPos val="r"/>
              <c:showLegendKey val="0"/>
              <c:showVal val="1"/>
              <c:showCatName val="0"/>
              <c:showSerName val="0"/>
              <c:showPercent val="0"/>
              <c:showBubbleSize val="0"/>
            </c:dLbl>
            <c:dLbl>
              <c:idx val="3"/>
              <c:layout>
                <c:manualLayout>
                  <c:x val="-1.6689966487610782E-2"/>
                  <c:y val="-5.8643262013239578E-2"/>
                </c:manualLayout>
              </c:layout>
              <c:dLblPos val="r"/>
              <c:showLegendKey val="0"/>
              <c:showVal val="1"/>
              <c:showCatName val="0"/>
              <c:showSerName val="0"/>
              <c:showPercent val="0"/>
              <c:showBubbleSize val="0"/>
            </c:dLbl>
            <c:txPr>
              <a:bodyPr/>
              <a:lstStyle/>
              <a:p>
                <a:pPr>
                  <a:defRPr b="1">
                    <a:solidFill>
                      <a:schemeClr val="accent2"/>
                    </a:solidFill>
                  </a:defRPr>
                </a:pPr>
                <a:endParaRPr lang="tr-TR"/>
              </a:p>
            </c:txPr>
            <c:dLblPos val="b"/>
            <c:showLegendKey val="0"/>
            <c:showVal val="1"/>
            <c:showCatName val="0"/>
            <c:showSerName val="0"/>
            <c:showPercent val="0"/>
            <c:showBubbleSize val="0"/>
            <c:showLeaderLines val="0"/>
          </c:dLbls>
          <c:cat>
            <c:strRef>
              <c:f>'Cari Tran'!$D$2:$D$7</c:f>
              <c:strCache>
                <c:ptCount val="6"/>
                <c:pt idx="0">
                  <c:v>OCAK</c:v>
                </c:pt>
                <c:pt idx="1">
                  <c:v>ŞUBAT</c:v>
                </c:pt>
                <c:pt idx="2">
                  <c:v>MART</c:v>
                </c:pt>
                <c:pt idx="3">
                  <c:v>NİSAN</c:v>
                </c:pt>
                <c:pt idx="4">
                  <c:v>MAYIS</c:v>
                </c:pt>
                <c:pt idx="5">
                  <c:v>HAZİRAN</c:v>
                </c:pt>
              </c:strCache>
            </c:strRef>
          </c:cat>
          <c:val>
            <c:numRef>
              <c:f>'Cari Tran'!$F$2:$F$7</c:f>
              <c:numCache>
                <c:formatCode>0%</c:formatCode>
                <c:ptCount val="6"/>
                <c:pt idx="0">
                  <c:v>0.15964150596957655</c:v>
                </c:pt>
                <c:pt idx="1">
                  <c:v>0.27608633624810891</c:v>
                </c:pt>
                <c:pt idx="2">
                  <c:v>0.10852781572112988</c:v>
                </c:pt>
                <c:pt idx="3">
                  <c:v>9.5163412187151492E-2</c:v>
                </c:pt>
                <c:pt idx="4">
                  <c:v>5.6616706865894387E-2</c:v>
                </c:pt>
                <c:pt idx="5">
                  <c:v>0.30396422300813869</c:v>
                </c:pt>
              </c:numCache>
            </c:numRef>
          </c:val>
          <c:smooth val="0"/>
        </c:ser>
        <c:dLbls>
          <c:showLegendKey val="0"/>
          <c:showVal val="0"/>
          <c:showCatName val="0"/>
          <c:showSerName val="0"/>
          <c:showPercent val="0"/>
          <c:showBubbleSize val="0"/>
        </c:dLbls>
        <c:marker val="1"/>
        <c:smooth val="0"/>
        <c:axId val="174181760"/>
        <c:axId val="174191744"/>
      </c:lineChart>
      <c:catAx>
        <c:axId val="174181760"/>
        <c:scaling>
          <c:orientation val="minMax"/>
        </c:scaling>
        <c:delete val="0"/>
        <c:axPos val="b"/>
        <c:numFmt formatCode="General" sourceLinked="1"/>
        <c:majorTickMark val="out"/>
        <c:minorTickMark val="none"/>
        <c:tickLblPos val="nextTo"/>
        <c:txPr>
          <a:bodyPr rot="0" vert="horz"/>
          <a:lstStyle/>
          <a:p>
            <a:pPr>
              <a:defRPr/>
            </a:pPr>
            <a:endParaRPr lang="tr-TR"/>
          </a:p>
        </c:txPr>
        <c:crossAx val="174191744"/>
        <c:crosses val="autoZero"/>
        <c:auto val="1"/>
        <c:lblAlgn val="ctr"/>
        <c:lblOffset val="100"/>
        <c:tickLblSkip val="1"/>
        <c:tickMarkSkip val="1"/>
        <c:noMultiLvlLbl val="0"/>
      </c:catAx>
      <c:valAx>
        <c:axId val="174191744"/>
        <c:scaling>
          <c:orientation val="minMax"/>
        </c:scaling>
        <c:delete val="0"/>
        <c:axPos val="l"/>
        <c:majorGridlines/>
        <c:numFmt formatCode="0%" sourceLinked="1"/>
        <c:majorTickMark val="out"/>
        <c:minorTickMark val="none"/>
        <c:tickLblPos val="nextTo"/>
        <c:txPr>
          <a:bodyPr rot="0" vert="horz"/>
          <a:lstStyle/>
          <a:p>
            <a:pPr>
              <a:defRPr/>
            </a:pPr>
            <a:endParaRPr lang="tr-TR"/>
          </a:p>
        </c:txPr>
        <c:crossAx val="174181760"/>
        <c:crosses val="autoZero"/>
        <c:crossBetween val="between"/>
      </c:valA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34298780487804881"/>
          <c:y val="0.89881202349706291"/>
          <c:w val="0.24237804878048785"/>
          <c:h val="8.0357455318085247E-2"/>
        </c:manualLayout>
      </c:layout>
      <c:overlay val="0"/>
    </c:legend>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SERMAYE GİDERLERİ</a:t>
            </a:r>
          </a:p>
        </c:rich>
      </c:tx>
      <c:overlay val="0"/>
    </c:title>
    <c:autoTitleDeleted val="0"/>
    <c:view3D>
      <c:rotX val="0"/>
      <c:rotY val="0"/>
      <c:depthPercent val="100"/>
      <c:rAngAx val="1"/>
    </c:view3D>
    <c:floor>
      <c:thickness val="0"/>
    </c:floor>
    <c:sideWall>
      <c:thickness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sideWall>
    <c:backWall>
      <c:thickness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backWall>
    <c:plotArea>
      <c:layout/>
      <c:bar3DChart>
        <c:barDir val="col"/>
        <c:grouping val="clustered"/>
        <c:varyColors val="0"/>
        <c:ser>
          <c:idx val="0"/>
          <c:order val="0"/>
          <c:tx>
            <c:strRef>
              <c:f>Sermaye!$B$1</c:f>
              <c:strCache>
                <c:ptCount val="1"/>
                <c:pt idx="0">
                  <c:v>2017</c:v>
                </c:pt>
              </c:strCache>
            </c:strRef>
          </c:tx>
          <c:invertIfNegative val="0"/>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1189098.01</c:v>
                </c:pt>
                <c:pt idx="1">
                  <c:v>863187.5</c:v>
                </c:pt>
                <c:pt idx="2">
                  <c:v>1253226.56</c:v>
                </c:pt>
                <c:pt idx="3">
                  <c:v>634967.79</c:v>
                </c:pt>
                <c:pt idx="4">
                  <c:v>2741764.97</c:v>
                </c:pt>
                <c:pt idx="5">
                  <c:v>2579105.4700000002</c:v>
                </c:pt>
              </c:numCache>
            </c:numRef>
          </c:val>
        </c:ser>
        <c:ser>
          <c:idx val="1"/>
          <c:order val="1"/>
          <c:tx>
            <c:strRef>
              <c:f>Sermaye!$C$1</c:f>
              <c:strCache>
                <c:ptCount val="1"/>
                <c:pt idx="0">
                  <c:v>2018</c:v>
                </c:pt>
              </c:strCache>
            </c:strRef>
          </c:tx>
          <c:invertIfNegative val="0"/>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2995358.6</c:v>
                </c:pt>
                <c:pt idx="1">
                  <c:v>4014510.53</c:v>
                </c:pt>
                <c:pt idx="2">
                  <c:v>457017.68</c:v>
                </c:pt>
                <c:pt idx="3">
                  <c:v>1419323.4</c:v>
                </c:pt>
                <c:pt idx="4">
                  <c:v>4066215.39</c:v>
                </c:pt>
                <c:pt idx="5">
                  <c:v>3087808.1</c:v>
                </c:pt>
              </c:numCache>
            </c:numRef>
          </c:val>
        </c:ser>
        <c:dLbls>
          <c:showLegendKey val="0"/>
          <c:showVal val="0"/>
          <c:showCatName val="0"/>
          <c:showSerName val="0"/>
          <c:showPercent val="0"/>
          <c:showBubbleSize val="0"/>
        </c:dLbls>
        <c:gapWidth val="150"/>
        <c:shape val="cylinder"/>
        <c:axId val="174303488"/>
        <c:axId val="174309376"/>
        <c:axId val="0"/>
      </c:bar3DChart>
      <c:catAx>
        <c:axId val="174303488"/>
        <c:scaling>
          <c:orientation val="minMax"/>
        </c:scaling>
        <c:delete val="0"/>
        <c:axPos val="b"/>
        <c:numFmt formatCode="0.00" sourceLinked="0"/>
        <c:majorTickMark val="none"/>
        <c:minorTickMark val="none"/>
        <c:tickLblPos val="low"/>
        <c:txPr>
          <a:bodyPr rot="0" vert="horz"/>
          <a:lstStyle/>
          <a:p>
            <a:pPr>
              <a:defRPr/>
            </a:pPr>
            <a:endParaRPr lang="tr-TR"/>
          </a:p>
        </c:txPr>
        <c:crossAx val="174309376"/>
        <c:crosses val="autoZero"/>
        <c:auto val="1"/>
        <c:lblAlgn val="ctr"/>
        <c:lblOffset val="100"/>
        <c:tickLblSkip val="1"/>
        <c:tickMarkSkip val="1"/>
        <c:noMultiLvlLbl val="0"/>
      </c:catAx>
      <c:valAx>
        <c:axId val="174309376"/>
        <c:scaling>
          <c:orientation val="minMax"/>
        </c:scaling>
        <c:delete val="0"/>
        <c:axPos val="l"/>
        <c:majorGridlines/>
        <c:numFmt formatCode="#,##0.00" sourceLinked="1"/>
        <c:majorTickMark val="none"/>
        <c:minorTickMark val="none"/>
        <c:tickLblPos val="nextTo"/>
        <c:crossAx val="174303488"/>
        <c:crosses val="autoZero"/>
        <c:crossBetween val="between"/>
      </c:valAx>
      <c:dTable>
        <c:showHorzBorder val="1"/>
        <c:showVertBorder val="1"/>
        <c:showOutline val="1"/>
        <c:showKeys val="1"/>
      </c:dTable>
    </c:plotArea>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SERMAYE GİDERLERİ</a:t>
            </a:r>
          </a:p>
        </c:rich>
      </c:tx>
      <c:overlay val="0"/>
    </c:title>
    <c:autoTitleDeleted val="0"/>
    <c:plotArea>
      <c:layout/>
      <c:pieChart>
        <c:varyColors val="1"/>
        <c:ser>
          <c:idx val="1"/>
          <c:order val="0"/>
          <c:tx>
            <c:strRef>
              <c:f>'Sermaye (2)'!$C$2</c:f>
              <c:strCache>
                <c:ptCount val="1"/>
                <c:pt idx="0">
                  <c:v>GERÇEKLEŞEN</c:v>
                </c:pt>
              </c:strCache>
            </c:strRef>
          </c:tx>
          <c:dLbls>
            <c:spPr>
              <a:noFill/>
            </c:spPr>
            <c:dLblPos val="bestFit"/>
            <c:showLegendKey val="1"/>
            <c:showVal val="0"/>
            <c:showCatName val="0"/>
            <c:showSerName val="0"/>
            <c:showPercent val="1"/>
            <c:showBubbleSize val="0"/>
            <c:showLeaderLines val="1"/>
          </c:dLbls>
          <c:cat>
            <c:strRef>
              <c:f>'Sermaye (2)'!$A$3:$A$11</c:f>
              <c:strCache>
                <c:ptCount val="9"/>
                <c:pt idx="0">
                  <c:v>Mamul Mal Alımları</c:v>
                </c:pt>
                <c:pt idx="1">
                  <c:v>Menkul Sermaye Üretim Giderleri</c:v>
                </c:pt>
                <c:pt idx="2">
                  <c:v>Gayri Maddi Hak Alımları</c:v>
                </c:pt>
                <c:pt idx="3">
                  <c:v>Gayrimenkul Alımları Ve Kamulaştırması</c:v>
                </c:pt>
                <c:pt idx="4">
                  <c:v>Gayrimenkul Sermaye Üretim Giderleri</c:v>
                </c:pt>
                <c:pt idx="5">
                  <c:v>Menkul Malların Büyük Onarım Giderleri</c:v>
                </c:pt>
                <c:pt idx="6">
                  <c:v>Gayrimenkul Büyük Onarım Giderleri</c:v>
                </c:pt>
                <c:pt idx="7">
                  <c:v>Stok Alımları (Savunma Dışında</c:v>
                </c:pt>
                <c:pt idx="8">
                  <c:v>Diğer Sermaye Giderleri</c:v>
                </c:pt>
              </c:strCache>
            </c:strRef>
          </c:cat>
          <c:val>
            <c:numRef>
              <c:f>'Sermaye (2)'!$C$3:$C$11</c:f>
              <c:numCache>
                <c:formatCode>#,##0.00</c:formatCode>
                <c:ptCount val="9"/>
                <c:pt idx="0">
                  <c:v>241605</c:v>
                </c:pt>
                <c:pt idx="1">
                  <c:v>0</c:v>
                </c:pt>
                <c:pt idx="2">
                  <c:v>46039.78</c:v>
                </c:pt>
                <c:pt idx="3">
                  <c:v>2415880.2999999998</c:v>
                </c:pt>
                <c:pt idx="4">
                  <c:v>11979224.779999999</c:v>
                </c:pt>
                <c:pt idx="5">
                  <c:v>0</c:v>
                </c:pt>
                <c:pt idx="6">
                  <c:v>1357483.84</c:v>
                </c:pt>
                <c:pt idx="7">
                  <c:v>0</c:v>
                </c:pt>
                <c:pt idx="8">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515500891315619"/>
          <c:y val="0.13466326485725599"/>
          <c:w val="0.40347125751550789"/>
          <c:h val="0.81624129386061384"/>
        </c:manualLayout>
      </c:layout>
      <c:overlay val="0"/>
    </c:legend>
    <c:plotVisOnly val="1"/>
    <c:dispBlanksAs val="zero"/>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SERMAYE GİDERLERİ</a:t>
            </a:r>
          </a:p>
        </c:rich>
      </c:tx>
      <c:layout>
        <c:manualLayout>
          <c:xMode val="edge"/>
          <c:yMode val="edge"/>
          <c:x val="0.36220472440944884"/>
          <c:y val="3.8327526132404179E-2"/>
        </c:manualLayout>
      </c:layout>
      <c:overlay val="0"/>
      <c:spPr>
        <a:noFill/>
        <a:ln w="25400">
          <a:noFill/>
        </a:ln>
      </c:spPr>
    </c:title>
    <c:autoTitleDeleted val="0"/>
    <c:plotArea>
      <c:layout>
        <c:manualLayout>
          <c:layoutTarget val="inner"/>
          <c:xMode val="edge"/>
          <c:yMode val="edge"/>
          <c:x val="8.1889763779527558E-2"/>
          <c:y val="0.15098722415795587"/>
          <c:w val="0.86186802240271143"/>
          <c:h val="0.63530778164924506"/>
        </c:manualLayout>
      </c:layout>
      <c:lineChart>
        <c:grouping val="standard"/>
        <c:varyColors val="0"/>
        <c:ser>
          <c:idx val="0"/>
          <c:order val="0"/>
          <c:tx>
            <c:strRef>
              <c:f>Sermaye!$E$1</c:f>
              <c:strCache>
                <c:ptCount val="1"/>
                <c:pt idx="0">
                  <c:v>2017</c:v>
                </c:pt>
              </c:strCache>
            </c:strRef>
          </c:tx>
          <c:spPr>
            <a:ln w="25400">
              <a:solidFill>
                <a:schemeClr val="accent1"/>
              </a:solidFill>
              <a:prstDash val="solid"/>
            </a:ln>
          </c:spPr>
          <c:marker>
            <c:symbol val="diamond"/>
            <c:size val="3"/>
            <c:spPr>
              <a:solidFill>
                <a:schemeClr val="accent1"/>
              </a:solidFill>
              <a:ln>
                <a:solidFill>
                  <a:schemeClr val="accent1"/>
                </a:solidFill>
                <a:prstDash val="solid"/>
              </a:ln>
            </c:spPr>
          </c:marker>
          <c:cat>
            <c:strRef>
              <c:f>Sermaye!$A$2:$A$7</c:f>
              <c:strCache>
                <c:ptCount val="6"/>
                <c:pt idx="0">
                  <c:v>OCAK</c:v>
                </c:pt>
                <c:pt idx="1">
                  <c:v>ŞUBAT</c:v>
                </c:pt>
                <c:pt idx="2">
                  <c:v>MART</c:v>
                </c:pt>
                <c:pt idx="3">
                  <c:v>NİSAN</c:v>
                </c:pt>
                <c:pt idx="4">
                  <c:v>MAYIS</c:v>
                </c:pt>
                <c:pt idx="5">
                  <c:v>HAZİRAN</c:v>
                </c:pt>
              </c:strCache>
            </c:strRef>
          </c:cat>
          <c:val>
            <c:numRef>
              <c:f>Sermaye!$B$2:$B$7</c:f>
              <c:numCache>
                <c:formatCode>#,##0.00</c:formatCode>
                <c:ptCount val="6"/>
                <c:pt idx="0">
                  <c:v>1189098.01</c:v>
                </c:pt>
                <c:pt idx="1">
                  <c:v>863187.5</c:v>
                </c:pt>
                <c:pt idx="2">
                  <c:v>1253226.56</c:v>
                </c:pt>
                <c:pt idx="3">
                  <c:v>634967.79</c:v>
                </c:pt>
                <c:pt idx="4">
                  <c:v>2741764.97</c:v>
                </c:pt>
                <c:pt idx="5">
                  <c:v>2579105.4700000002</c:v>
                </c:pt>
              </c:numCache>
            </c:numRef>
          </c:val>
          <c:smooth val="0"/>
        </c:ser>
        <c:ser>
          <c:idx val="1"/>
          <c:order val="1"/>
          <c:tx>
            <c:strRef>
              <c:f>Sermaye!$F$1</c:f>
              <c:strCache>
                <c:ptCount val="1"/>
                <c:pt idx="0">
                  <c:v>2018</c:v>
                </c:pt>
              </c:strCache>
            </c:strRef>
          </c:tx>
          <c:spPr>
            <a:ln w="25400">
              <a:solidFill>
                <a:schemeClr val="accent2"/>
              </a:solidFill>
              <a:prstDash val="solid"/>
            </a:ln>
          </c:spPr>
          <c:marker>
            <c:symbol val="square"/>
            <c:size val="3"/>
            <c:spPr>
              <a:solidFill>
                <a:schemeClr val="accent2"/>
              </a:solidFill>
              <a:ln>
                <a:solidFill>
                  <a:schemeClr val="accent2"/>
                </a:solidFill>
                <a:prstDash val="solid"/>
              </a:ln>
            </c:spPr>
          </c:marker>
          <c:cat>
            <c:strRef>
              <c:f>Sermaye!$A$2:$A$7</c:f>
              <c:strCache>
                <c:ptCount val="6"/>
                <c:pt idx="0">
                  <c:v>OCAK</c:v>
                </c:pt>
                <c:pt idx="1">
                  <c:v>ŞUBAT</c:v>
                </c:pt>
                <c:pt idx="2">
                  <c:v>MART</c:v>
                </c:pt>
                <c:pt idx="3">
                  <c:v>NİSAN</c:v>
                </c:pt>
                <c:pt idx="4">
                  <c:v>MAYIS</c:v>
                </c:pt>
                <c:pt idx="5">
                  <c:v>HAZİRAN</c:v>
                </c:pt>
              </c:strCache>
            </c:strRef>
          </c:cat>
          <c:val>
            <c:numRef>
              <c:f>Sermaye!$C$2:$C$7</c:f>
              <c:numCache>
                <c:formatCode>#,##0.00</c:formatCode>
                <c:ptCount val="6"/>
                <c:pt idx="0">
                  <c:v>2995358.6</c:v>
                </c:pt>
                <c:pt idx="1">
                  <c:v>4014510.53</c:v>
                </c:pt>
                <c:pt idx="2">
                  <c:v>457017.68</c:v>
                </c:pt>
                <c:pt idx="3">
                  <c:v>1419323.4</c:v>
                </c:pt>
                <c:pt idx="4">
                  <c:v>4066215.39</c:v>
                </c:pt>
                <c:pt idx="5">
                  <c:v>3087808.1</c:v>
                </c:pt>
              </c:numCache>
            </c:numRef>
          </c:val>
          <c:smooth val="0"/>
        </c:ser>
        <c:dLbls>
          <c:showLegendKey val="0"/>
          <c:showVal val="0"/>
          <c:showCatName val="0"/>
          <c:showSerName val="0"/>
          <c:showPercent val="0"/>
          <c:showBubbleSize val="0"/>
        </c:dLbls>
        <c:marker val="1"/>
        <c:smooth val="0"/>
        <c:axId val="174354816"/>
        <c:axId val="174356736"/>
      </c:lineChart>
      <c:catAx>
        <c:axId val="1743548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74356736"/>
        <c:crosses val="autoZero"/>
        <c:auto val="1"/>
        <c:lblAlgn val="ctr"/>
        <c:lblOffset val="100"/>
        <c:tickLblSkip val="1"/>
        <c:tickMarkSkip val="1"/>
        <c:noMultiLvlLbl val="0"/>
      </c:catAx>
      <c:valAx>
        <c:axId val="174356736"/>
        <c:scaling>
          <c:orientation val="minMax"/>
          <c:max val="5000000"/>
          <c:min val="0"/>
        </c:scaling>
        <c:delete val="0"/>
        <c:axPos val="l"/>
        <c:majorGridlines>
          <c:spPr>
            <a:ln w="3175">
              <a:solidFill>
                <a:schemeClr val="bg1">
                  <a:lumMod val="65000"/>
                </a:schemeClr>
              </a:solidFill>
              <a:prstDash val="sysDash"/>
            </a:ln>
          </c:spPr>
        </c:majorGridlines>
        <c:numFmt formatCode="#,##0.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Tur"/>
                <a:ea typeface="Arial Tur"/>
                <a:cs typeface="Arial Tur"/>
              </a:defRPr>
            </a:pPr>
            <a:endParaRPr lang="tr-TR"/>
          </a:p>
        </c:txPr>
        <c:crossAx val="174354816"/>
        <c:crosses val="autoZero"/>
        <c:crossBetween val="between"/>
      </c:valA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legend>
      <c:legendPos val="b"/>
      <c:layout>
        <c:manualLayout>
          <c:xMode val="edge"/>
          <c:yMode val="edge"/>
          <c:x val="0.42362204724409447"/>
          <c:y val="0.89198606271777003"/>
          <c:w val="0.21259842519685035"/>
          <c:h val="8.362369337979092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chemeClr val="accent1">
            <a:lumMod val="20000"/>
            <a:lumOff val="80000"/>
          </a:schemeClr>
        </a:gs>
        <a:gs pos="50000">
          <a:srgbClr val="FFFFFF"/>
        </a:gs>
        <a:gs pos="100000">
          <a:schemeClr val="accent1">
            <a:lumMod val="20000"/>
            <a:lumOff val="80000"/>
          </a:schemeClr>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AYLIK BAZDA BÜTÇE GELİR GERÇEKLEŞMELERİ</a:t>
            </a:r>
          </a:p>
        </c:rich>
      </c:tx>
      <c:layout>
        <c:manualLayout>
          <c:xMode val="edge"/>
          <c:yMode val="edge"/>
          <c:x val="0.20950981424498757"/>
          <c:y val="3.2911392405063293E-2"/>
        </c:manualLayout>
      </c:layout>
      <c:overlay val="0"/>
    </c:title>
    <c:autoTitleDeleted val="0"/>
    <c:plotArea>
      <c:layout>
        <c:manualLayout>
          <c:layoutTarget val="inner"/>
          <c:xMode val="edge"/>
          <c:yMode val="edge"/>
          <c:x val="0.13075789576022109"/>
          <c:y val="0.29673387122905931"/>
          <c:w val="0.82615215957594235"/>
          <c:h val="0.57162062149638704"/>
        </c:manualLayout>
      </c:layout>
      <c:lineChart>
        <c:grouping val="standard"/>
        <c:varyColors val="0"/>
        <c:ser>
          <c:idx val="0"/>
          <c:order val="0"/>
          <c:tx>
            <c:strRef>
              <c:f>'gelir_tablo-9'!$B$3</c:f>
              <c:strCache>
                <c:ptCount val="1"/>
                <c:pt idx="0">
                  <c:v>2017 YILI GERÇEKLEŞME</c:v>
                </c:pt>
              </c:strCache>
            </c:strRef>
          </c:tx>
          <c:spPr>
            <a:ln>
              <a:solidFill>
                <a:schemeClr val="accent1"/>
              </a:solidFill>
            </a:ln>
          </c:spPr>
          <c:marker>
            <c:spPr>
              <a:solidFill>
                <a:schemeClr val="accent1"/>
              </a:solidFill>
              <a:ln>
                <a:solidFill>
                  <a:schemeClr val="accent1"/>
                </a:solidFill>
              </a:ln>
            </c:spPr>
          </c:marker>
          <c:cat>
            <c:strRef>
              <c:f>'gelir_tablo-9'!$A$4:$A$9</c:f>
              <c:strCache>
                <c:ptCount val="6"/>
                <c:pt idx="0">
                  <c:v>OCAK</c:v>
                </c:pt>
                <c:pt idx="1">
                  <c:v>ŞUBAT</c:v>
                </c:pt>
                <c:pt idx="2">
                  <c:v>MART</c:v>
                </c:pt>
                <c:pt idx="3">
                  <c:v>NİSAN</c:v>
                </c:pt>
                <c:pt idx="4">
                  <c:v>MAYIS</c:v>
                </c:pt>
                <c:pt idx="5">
                  <c:v>HAZİRAN</c:v>
                </c:pt>
              </c:strCache>
            </c:strRef>
          </c:cat>
          <c:val>
            <c:numRef>
              <c:f>'gelir_tablo-9'!$B$4:$B$9</c:f>
              <c:numCache>
                <c:formatCode>#,##0.00</c:formatCode>
                <c:ptCount val="6"/>
                <c:pt idx="0">
                  <c:v>12419725.4</c:v>
                </c:pt>
                <c:pt idx="1">
                  <c:v>12621112.699999999</c:v>
                </c:pt>
                <c:pt idx="2">
                  <c:v>13078046</c:v>
                </c:pt>
                <c:pt idx="3">
                  <c:v>10728547.199999999</c:v>
                </c:pt>
                <c:pt idx="4">
                  <c:v>14989523.1</c:v>
                </c:pt>
                <c:pt idx="5">
                  <c:v>12437138.699999999</c:v>
                </c:pt>
              </c:numCache>
            </c:numRef>
          </c:val>
          <c:smooth val="0"/>
        </c:ser>
        <c:ser>
          <c:idx val="1"/>
          <c:order val="1"/>
          <c:tx>
            <c:strRef>
              <c:f>'gelir_tablo-9'!$C$3</c:f>
              <c:strCache>
                <c:ptCount val="1"/>
                <c:pt idx="0">
                  <c:v>2018 YILI GERÇEKLEŞME</c:v>
                </c:pt>
              </c:strCache>
            </c:strRef>
          </c:tx>
          <c:spPr>
            <a:ln>
              <a:solidFill>
                <a:schemeClr val="accent2"/>
              </a:solidFill>
            </a:ln>
          </c:spPr>
          <c:marker>
            <c:spPr>
              <a:solidFill>
                <a:schemeClr val="accent2"/>
              </a:solidFill>
              <a:ln>
                <a:solidFill>
                  <a:schemeClr val="accent2"/>
                </a:solidFill>
              </a:ln>
            </c:spPr>
          </c:marker>
          <c:cat>
            <c:strRef>
              <c:f>'gelir_tablo-9'!$A$4:$A$9</c:f>
              <c:strCache>
                <c:ptCount val="6"/>
                <c:pt idx="0">
                  <c:v>OCAK</c:v>
                </c:pt>
                <c:pt idx="1">
                  <c:v>ŞUBAT</c:v>
                </c:pt>
                <c:pt idx="2">
                  <c:v>MART</c:v>
                </c:pt>
                <c:pt idx="3">
                  <c:v>NİSAN</c:v>
                </c:pt>
                <c:pt idx="4">
                  <c:v>MAYIS</c:v>
                </c:pt>
                <c:pt idx="5">
                  <c:v>HAZİRAN</c:v>
                </c:pt>
              </c:strCache>
            </c:strRef>
          </c:cat>
          <c:val>
            <c:numRef>
              <c:f>'gelir_tablo-9'!$C$4:$C$9</c:f>
              <c:numCache>
                <c:formatCode>#,##0.00</c:formatCode>
                <c:ptCount val="6"/>
                <c:pt idx="0">
                  <c:v>12731114.199999999</c:v>
                </c:pt>
                <c:pt idx="1">
                  <c:v>12630503.4</c:v>
                </c:pt>
                <c:pt idx="2">
                  <c:v>13038814.9</c:v>
                </c:pt>
                <c:pt idx="3">
                  <c:v>14725806</c:v>
                </c:pt>
                <c:pt idx="4">
                  <c:v>21446886.300000001</c:v>
                </c:pt>
                <c:pt idx="5">
                  <c:v>12616948.9</c:v>
                </c:pt>
              </c:numCache>
            </c:numRef>
          </c:val>
          <c:smooth val="0"/>
        </c:ser>
        <c:dLbls>
          <c:showLegendKey val="0"/>
          <c:showVal val="0"/>
          <c:showCatName val="0"/>
          <c:showSerName val="0"/>
          <c:showPercent val="0"/>
          <c:showBubbleSize val="0"/>
        </c:dLbls>
        <c:marker val="1"/>
        <c:smooth val="0"/>
        <c:axId val="174381696"/>
        <c:axId val="204235520"/>
      </c:lineChart>
      <c:catAx>
        <c:axId val="174381696"/>
        <c:scaling>
          <c:orientation val="minMax"/>
        </c:scaling>
        <c:delete val="0"/>
        <c:axPos val="t"/>
        <c:majorGridlines/>
        <c:numFmt formatCode="General" sourceLinked="1"/>
        <c:majorTickMark val="out"/>
        <c:minorTickMark val="none"/>
        <c:tickLblPos val="nextTo"/>
        <c:txPr>
          <a:bodyPr rot="0" vert="horz"/>
          <a:lstStyle/>
          <a:p>
            <a:pPr>
              <a:defRPr/>
            </a:pPr>
            <a:endParaRPr lang="tr-TR"/>
          </a:p>
        </c:txPr>
        <c:crossAx val="204235520"/>
        <c:crosses val="max"/>
        <c:auto val="1"/>
        <c:lblAlgn val="ctr"/>
        <c:lblOffset val="100"/>
        <c:tickLblSkip val="1"/>
        <c:tickMarkSkip val="1"/>
        <c:noMultiLvlLbl val="0"/>
      </c:catAx>
      <c:valAx>
        <c:axId val="204235520"/>
        <c:scaling>
          <c:orientation val="minMax"/>
        </c:scaling>
        <c:delete val="0"/>
        <c:axPos val="l"/>
        <c:majorGridlines/>
        <c:numFmt formatCode="#,##0.00" sourceLinked="1"/>
        <c:majorTickMark val="out"/>
        <c:minorTickMark val="none"/>
        <c:tickLblPos val="nextTo"/>
        <c:txPr>
          <a:bodyPr rot="0" vert="horz"/>
          <a:lstStyle/>
          <a:p>
            <a:pPr>
              <a:defRPr/>
            </a:pPr>
            <a:endParaRPr lang="tr-TR"/>
          </a:p>
        </c:txPr>
        <c:crossAx val="174381696"/>
        <c:crosses val="autoZero"/>
        <c:crossBetween val="between"/>
      </c:valAx>
      <c:spPr>
        <a:blipFill>
          <a:blip xmlns:r="http://schemas.openxmlformats.org/officeDocument/2006/relationships" r:embed="rId1"/>
          <a:tile tx="0" ty="0" sx="100000" sy="100000" flip="none" algn="tl"/>
        </a:blipFill>
      </c:spPr>
    </c:plotArea>
    <c:legend>
      <c:legendPos val="b"/>
      <c:layout>
        <c:manualLayout>
          <c:xMode val="edge"/>
          <c:yMode val="edge"/>
          <c:x val="0.28528990339803362"/>
          <c:y val="0.92405063291139244"/>
          <c:w val="0.53937639667255566"/>
          <c:h val="5.82278481012658E-2"/>
        </c:manualLayout>
      </c:layout>
      <c:overlay val="0"/>
    </c:legend>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tr-TR" sz="1400"/>
              <a:t>2017</a:t>
            </a:r>
            <a:r>
              <a:rPr lang="tr-TR" sz="1400" baseline="0"/>
              <a:t> VE 2018 YILLARI ALTI AYLIK BÜTÇE GERÇEKLEŞMELERİ</a:t>
            </a:r>
            <a:endParaRPr lang="tr-TR" sz="1400"/>
          </a:p>
        </c:rich>
      </c:tx>
      <c:overlay val="0"/>
    </c:title>
    <c:autoTitleDeleted val="0"/>
    <c:view3D>
      <c:rotX val="10"/>
      <c:rotY val="0"/>
      <c:depthPercent val="100"/>
      <c:rAngAx val="1"/>
    </c:view3D>
    <c:floor>
      <c:thickness val="0"/>
    </c:floor>
    <c:sideWall>
      <c:thickness val="0"/>
    </c:sideWall>
    <c:backWall>
      <c:thickness val="0"/>
    </c:backWall>
    <c:plotArea>
      <c:layout>
        <c:manualLayout>
          <c:layoutTarget val="inner"/>
          <c:xMode val="edge"/>
          <c:yMode val="edge"/>
          <c:x val="9.2870261296078144E-2"/>
          <c:y val="0.15125404909798942"/>
          <c:w val="0.89645359290718596"/>
          <c:h val="0.65438058246557962"/>
        </c:manualLayout>
      </c:layout>
      <c:bar3DChart>
        <c:barDir val="col"/>
        <c:grouping val="clustered"/>
        <c:varyColors val="0"/>
        <c:ser>
          <c:idx val="0"/>
          <c:order val="0"/>
          <c:tx>
            <c:strRef>
              <c:f>'GELİR GERÇ.'!$E$15</c:f>
              <c:strCache>
                <c:ptCount val="1"/>
                <c:pt idx="0">
                  <c:v>2017</c:v>
                </c:pt>
              </c:strCache>
            </c:strRef>
          </c:tx>
          <c:invertIfNegative val="0"/>
          <c:cat>
            <c:strRef>
              <c:f>'GELİR GERÇ.'!$B$16:$D$20</c:f>
              <c:strCache>
                <c:ptCount val="5"/>
                <c:pt idx="0">
                  <c:v>Vergi Gelirleri</c:v>
                </c:pt>
                <c:pt idx="1">
                  <c:v>Tesebbüs ve Mülkiyet Gelirleri</c:v>
                </c:pt>
                <c:pt idx="2">
                  <c:v>Alinan Bagis ve Yardimlar ile Ozel Gelirler</c:v>
                </c:pt>
                <c:pt idx="3">
                  <c:v>Diger Gelirler</c:v>
                </c:pt>
                <c:pt idx="4">
                  <c:v>Sermaye Gelirleri</c:v>
                </c:pt>
              </c:strCache>
            </c:strRef>
          </c:cat>
          <c:val>
            <c:numRef>
              <c:f>'GELİR GERÇ.'!$E$16:$E$20</c:f>
              <c:numCache>
                <c:formatCode>#,##0.00</c:formatCode>
                <c:ptCount val="5"/>
                <c:pt idx="0">
                  <c:v>23245342.030000001</c:v>
                </c:pt>
                <c:pt idx="1">
                  <c:v>12404578.619999999</c:v>
                </c:pt>
                <c:pt idx="2">
                  <c:v>1202378.32</c:v>
                </c:pt>
                <c:pt idx="3">
                  <c:v>37545336.460000001</c:v>
                </c:pt>
                <c:pt idx="4">
                  <c:v>1876458.01</c:v>
                </c:pt>
              </c:numCache>
            </c:numRef>
          </c:val>
        </c:ser>
        <c:ser>
          <c:idx val="4"/>
          <c:order val="1"/>
          <c:tx>
            <c:strRef>
              <c:f>'GELİR GERÇ.'!$I$15</c:f>
              <c:strCache>
                <c:ptCount val="1"/>
                <c:pt idx="0">
                  <c:v>2018</c:v>
                </c:pt>
              </c:strCache>
            </c:strRef>
          </c:tx>
          <c:spPr>
            <a:solidFill>
              <a:schemeClr val="accent2"/>
            </a:solidFill>
          </c:spPr>
          <c:invertIfNegative val="0"/>
          <c:cat>
            <c:strRef>
              <c:f>'GELİR GERÇ.'!$B$16:$D$20</c:f>
              <c:strCache>
                <c:ptCount val="5"/>
                <c:pt idx="0">
                  <c:v>Vergi Gelirleri</c:v>
                </c:pt>
                <c:pt idx="1">
                  <c:v>Tesebbüs ve Mülkiyet Gelirleri</c:v>
                </c:pt>
                <c:pt idx="2">
                  <c:v>Alinan Bagis ve Yardimlar ile Ozel Gelirler</c:v>
                </c:pt>
                <c:pt idx="3">
                  <c:v>Diger Gelirler</c:v>
                </c:pt>
                <c:pt idx="4">
                  <c:v>Sermaye Gelirleri</c:v>
                </c:pt>
              </c:strCache>
            </c:strRef>
          </c:cat>
          <c:val>
            <c:numRef>
              <c:f>'GELİR GERÇ.'!$I$16:$I$20</c:f>
              <c:numCache>
                <c:formatCode>#,##0.00</c:formatCode>
                <c:ptCount val="5"/>
                <c:pt idx="0">
                  <c:v>26298266.75</c:v>
                </c:pt>
                <c:pt idx="1">
                  <c:v>13406068.699999999</c:v>
                </c:pt>
                <c:pt idx="2">
                  <c:v>596026.48</c:v>
                </c:pt>
                <c:pt idx="3">
                  <c:v>43705800.020000003</c:v>
                </c:pt>
                <c:pt idx="4">
                  <c:v>3183912</c:v>
                </c:pt>
              </c:numCache>
            </c:numRef>
          </c:val>
        </c:ser>
        <c:dLbls>
          <c:showLegendKey val="0"/>
          <c:showVal val="0"/>
          <c:showCatName val="0"/>
          <c:showSerName val="0"/>
          <c:showPercent val="0"/>
          <c:showBubbleSize val="0"/>
        </c:dLbls>
        <c:gapWidth val="150"/>
        <c:shape val="cylinder"/>
        <c:axId val="204269056"/>
        <c:axId val="204270592"/>
        <c:axId val="0"/>
      </c:bar3DChart>
      <c:catAx>
        <c:axId val="204269056"/>
        <c:scaling>
          <c:orientation val="minMax"/>
        </c:scaling>
        <c:delete val="0"/>
        <c:axPos val="b"/>
        <c:numFmt formatCode="General" sourceLinked="1"/>
        <c:majorTickMark val="none"/>
        <c:minorTickMark val="none"/>
        <c:tickLblPos val="nextTo"/>
        <c:txPr>
          <a:bodyPr rot="-2700000" vert="horz"/>
          <a:lstStyle/>
          <a:p>
            <a:pPr>
              <a:defRPr/>
            </a:pPr>
            <a:endParaRPr lang="tr-TR"/>
          </a:p>
        </c:txPr>
        <c:crossAx val="204270592"/>
        <c:crosses val="autoZero"/>
        <c:auto val="1"/>
        <c:lblAlgn val="ctr"/>
        <c:lblOffset val="100"/>
        <c:noMultiLvlLbl val="0"/>
      </c:catAx>
      <c:valAx>
        <c:axId val="204270592"/>
        <c:scaling>
          <c:orientation val="minMax"/>
        </c:scaling>
        <c:delete val="0"/>
        <c:axPos val="l"/>
        <c:majorGridlines/>
        <c:numFmt formatCode="#,##0.00" sourceLinked="1"/>
        <c:majorTickMark val="none"/>
        <c:minorTickMark val="none"/>
        <c:tickLblPos val="nextTo"/>
        <c:txPr>
          <a:bodyPr rot="0" vert="horz"/>
          <a:lstStyle/>
          <a:p>
            <a:pPr>
              <a:defRPr/>
            </a:pPr>
            <a:endParaRPr lang="tr-TR"/>
          </a:p>
        </c:txPr>
        <c:crossAx val="204269056"/>
        <c:crosses val="autoZero"/>
        <c:crossBetween val="between"/>
        <c:dispUnits>
          <c:builtInUnit val="millions"/>
          <c:dispUnitsLbl/>
        </c:dispUnits>
      </c:valAx>
      <c:dTable>
        <c:showHorzBorder val="1"/>
        <c:showVertBorder val="1"/>
        <c:showOutline val="1"/>
        <c:showKeys val="1"/>
      </c:dTable>
      <c:spPr>
        <a:blipFill>
          <a:blip xmlns:r="http://schemas.openxmlformats.org/officeDocument/2006/relationships" r:embed="rId1"/>
          <a:tile tx="0" ty="0" sx="100000" sy="100000" flip="none" algn="tl"/>
        </a:blipFill>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GİDER</a:t>
            </a:r>
          </a:p>
        </c:rich>
      </c:tx>
      <c:layout>
        <c:manualLayout>
          <c:xMode val="edge"/>
          <c:yMode val="edge"/>
          <c:x val="0.76993929439801612"/>
          <c:y val="4.5977011494252873E-2"/>
        </c:manualLayout>
      </c:layout>
      <c:overlay val="0"/>
    </c:title>
    <c:autoTitleDeleted val="0"/>
    <c:view3D>
      <c:rotX val="15"/>
      <c:rotY val="180"/>
      <c:rAngAx val="0"/>
      <c:perspective val="0"/>
    </c:view3D>
    <c:floor>
      <c:thickness val="0"/>
    </c:floor>
    <c:sideWall>
      <c:thickness val="0"/>
    </c:sideWall>
    <c:backWall>
      <c:thickness val="0"/>
    </c:backWall>
    <c:plotArea>
      <c:layout>
        <c:manualLayout>
          <c:layoutTarget val="inner"/>
          <c:xMode val="edge"/>
          <c:yMode val="edge"/>
          <c:x val="0.24233146982501994"/>
          <c:y val="0.23793103448275862"/>
          <c:w val="0.61963236588169657"/>
          <c:h val="0.55172413793103448"/>
        </c:manualLayout>
      </c:layout>
      <c:pie3DChart>
        <c:varyColors val="1"/>
        <c:ser>
          <c:idx val="0"/>
          <c:order val="0"/>
          <c:explosion val="25"/>
          <c:dPt>
            <c:idx val="0"/>
            <c:bubble3D val="0"/>
          </c:dPt>
          <c:dPt>
            <c:idx val="1"/>
            <c:bubble3D val="0"/>
          </c:dPt>
          <c:dPt>
            <c:idx val="2"/>
            <c:bubble3D val="0"/>
          </c:dPt>
          <c:dPt>
            <c:idx val="3"/>
            <c:bubble3D val="0"/>
          </c:dPt>
          <c:dLbls>
            <c:dLbl>
              <c:idx val="0"/>
              <c:layout>
                <c:manualLayout>
                  <c:x val="-0.11407065681207026"/>
                  <c:y val="-8.8182097927414244E-2"/>
                </c:manualLayout>
              </c:layout>
              <c:dLblPos val="bestFit"/>
              <c:showLegendKey val="0"/>
              <c:showVal val="1"/>
              <c:showCatName val="0"/>
              <c:showSerName val="0"/>
              <c:showPercent val="0"/>
              <c:showBubbleSize val="0"/>
            </c:dLbl>
            <c:dLbl>
              <c:idx val="1"/>
              <c:layout>
                <c:manualLayout>
                  <c:x val="8.8311917298681222E-2"/>
                  <c:y val="6.8908679518508459E-2"/>
                </c:manualLayout>
              </c:layout>
              <c:dLblPos val="bestFit"/>
              <c:showLegendKey val="0"/>
              <c:showVal val="1"/>
              <c:showCatName val="0"/>
              <c:showSerName val="0"/>
              <c:showPercent val="0"/>
              <c:showBubbleSize val="0"/>
            </c:dLbl>
            <c:dLbl>
              <c:idx val="2"/>
              <c:layout>
                <c:manualLayout>
                  <c:x val="0.16129639469912888"/>
                  <c:y val="-0.2765589646121821"/>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dLbl>
            <c:dLbl>
              <c:idx val="3"/>
              <c:layout>
                <c:manualLayout>
                  <c:x val="-0.13573804808141313"/>
                  <c:y val="-0.3616164358765499"/>
                </c:manualLayout>
              </c:layout>
              <c:spPr/>
              <c:txPr>
                <a:bodyPr/>
                <a:lstStyle/>
                <a:p>
                  <a:pPr>
                    <a:defRPr sz="1100" b="1" i="0" u="none" strike="noStrike" baseline="0">
                      <a:solidFill>
                        <a:srgbClr val="FFFFFF"/>
                      </a:solidFill>
                      <a:latin typeface="Arial"/>
                      <a:ea typeface="Arial"/>
                      <a:cs typeface="Arial"/>
                    </a:defRPr>
                  </a:pPr>
                  <a:endParaRPr lang="tr-TR"/>
                </a:p>
              </c:txPr>
              <c:dLblPos val="bestFit"/>
              <c:showLegendKey val="0"/>
              <c:showVal val="1"/>
              <c:showCatName val="0"/>
              <c:showSerName val="0"/>
              <c:showPercent val="0"/>
              <c:showBubbleSize val="0"/>
            </c:dLbl>
            <c:txPr>
              <a:bodyPr/>
              <a:lstStyle/>
              <a:p>
                <a:pPr>
                  <a:defRPr sz="1100" b="1" i="0" u="none" strike="noStrike" baseline="0">
                    <a:solidFill>
                      <a:srgbClr val="000000"/>
                    </a:solidFill>
                    <a:latin typeface="Arial"/>
                    <a:ea typeface="Arial"/>
                    <a:cs typeface="Arial"/>
                  </a:defRPr>
                </a:pPr>
                <a:endParaRPr lang="tr-TR"/>
              </a:p>
            </c:txPr>
            <c:showLegendKey val="0"/>
            <c:showVal val="1"/>
            <c:showCatName val="0"/>
            <c:showSerName val="0"/>
            <c:showPercent val="0"/>
            <c:showBubbleSize val="0"/>
            <c:showLeaderLines val="1"/>
          </c:dLbls>
          <c:cat>
            <c:strRef>
              <c:f>'tablo-1'!$B$4:$E$4</c:f>
              <c:strCache>
                <c:ptCount val="3"/>
                <c:pt idx="0">
                  <c:v>BÜTÇE</c:v>
                </c:pt>
                <c:pt idx="1">
                  <c:v>GERÇEKLEŞME</c:v>
                </c:pt>
                <c:pt idx="2">
                  <c:v>%</c:v>
                </c:pt>
              </c:strCache>
            </c:strRef>
          </c:cat>
          <c:val>
            <c:numRef>
              <c:f>'tablo-1'!$B$6:$E$6</c:f>
              <c:numCache>
                <c:formatCode>#,##0.00</c:formatCode>
                <c:ptCount val="4"/>
                <c:pt idx="0">
                  <c:v>252000000</c:v>
                </c:pt>
                <c:pt idx="1">
                  <c:v>95881311.909999996</c:v>
                </c:pt>
                <c:pt idx="2" formatCode="%\ 0.00">
                  <c:v>0.38048139646825396</c:v>
                </c:pt>
                <c:pt idx="3" formatCode="%\ 0.00">
                  <c:v>0.61951860353174604</c:v>
                </c:pt>
              </c:numCache>
            </c:numRef>
          </c:val>
        </c:ser>
        <c:dLbls>
          <c:showLegendKey val="0"/>
          <c:showVal val="0"/>
          <c:showCatName val="0"/>
          <c:showSerName val="0"/>
          <c:showPercent val="0"/>
          <c:showBubbleSize val="0"/>
          <c:showLeaderLines val="1"/>
        </c:dLbls>
      </c:pie3DChart>
      <c:spPr>
        <a:noFill/>
        <a:ln w="25400">
          <a:noFill/>
        </a:ln>
      </c:spPr>
    </c:plotArea>
    <c:legend>
      <c:legendPos val="b"/>
      <c:legendEntry>
        <c:idx val="2"/>
        <c:delete val="1"/>
      </c:legendEntry>
      <c:legendEntry>
        <c:idx val="3"/>
        <c:delete val="1"/>
      </c:legendEntry>
      <c:layout>
        <c:manualLayout>
          <c:xMode val="edge"/>
          <c:yMode val="edge"/>
          <c:x val="0.223926702413732"/>
          <c:y val="0.88275862068965516"/>
          <c:w val="0.54536447514612818"/>
          <c:h val="8.3139831658973651E-2"/>
        </c:manualLayout>
      </c:layout>
      <c:overlay val="0"/>
      <c:spPr>
        <a:solidFill>
          <a:schemeClr val="bg1"/>
        </a:solidFill>
        <a:ln>
          <a:solidFill>
            <a:srgbClr val="000000"/>
          </a:solidFill>
        </a:ln>
      </c:spPr>
      <c:txPr>
        <a:bodyPr/>
        <a:lstStyle/>
        <a:p>
          <a:pPr>
            <a:defRPr sz="1010" b="1" i="0" u="none" strike="noStrike" baseline="0">
              <a:solidFill>
                <a:srgbClr val="000000"/>
              </a:solidFill>
              <a:latin typeface="Arial"/>
              <a:ea typeface="Arial"/>
              <a:cs typeface="Arial"/>
            </a:defRPr>
          </a:pPr>
          <a:endParaRPr lang="tr-TR"/>
        </a:p>
      </c:txPr>
    </c:legend>
    <c:plotVisOnly val="1"/>
    <c:dispBlanksAs val="zero"/>
    <c:showDLblsOverMax val="0"/>
  </c:chart>
  <c:spPr>
    <a:gradFill>
      <a:gsLst>
        <a:gs pos="0">
          <a:srgbClr val="FFFFFF"/>
        </a:gs>
        <a:gs pos="7001">
          <a:srgbClr val="E6E6E6"/>
        </a:gs>
        <a:gs pos="32001">
          <a:srgbClr val="7D8496"/>
        </a:gs>
        <a:gs pos="47000">
          <a:srgbClr val="E6E6E6"/>
        </a:gs>
        <a:gs pos="85001">
          <a:srgbClr val="7D8496"/>
        </a:gs>
        <a:gs pos="100000">
          <a:srgbClr val="E6E6E6"/>
        </a:gs>
      </a:gsLst>
      <a:lin ang="4800000" scaled="0"/>
    </a:gradFill>
    <a:effectLst>
      <a:innerShdw blurRad="63500" dist="50800" dir="2700000">
        <a:prstClr val="black">
          <a:alpha val="50000"/>
        </a:prstClr>
      </a:innerShdw>
    </a:effectLst>
    <a:scene3d>
      <a:camera prst="orthographicFront"/>
      <a:lightRig rig="threePt" dir="t"/>
    </a:scene3d>
    <a:sp3d/>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tr-TR" sz="1200"/>
              <a:t>2017-2018 OCAK</a:t>
            </a:r>
            <a:r>
              <a:rPr lang="tr-TR" sz="1200" baseline="0"/>
              <a:t>-HAZİRAN GERÇEKLEŞME ORANLARI</a:t>
            </a:r>
            <a:endParaRPr lang="tr-TR" sz="1200"/>
          </a:p>
        </c:rich>
      </c:tx>
      <c:layout/>
      <c:overlay val="0"/>
    </c:title>
    <c:autoTitleDeleted val="0"/>
    <c:plotArea>
      <c:layout/>
      <c:lineChart>
        <c:grouping val="standard"/>
        <c:varyColors val="0"/>
        <c:ser>
          <c:idx val="6"/>
          <c:order val="0"/>
          <c:tx>
            <c:v>2017</c:v>
          </c:tx>
          <c:spPr>
            <a:ln>
              <a:solidFill>
                <a:schemeClr val="accent1"/>
              </a:solidFill>
            </a:ln>
          </c:spPr>
          <c:marker>
            <c:spPr>
              <a:solidFill>
                <a:schemeClr val="accent1"/>
              </a:solidFill>
              <a:ln>
                <a:solidFill>
                  <a:schemeClr val="accent1"/>
                </a:solidFill>
              </a:ln>
            </c:spPr>
          </c:marker>
          <c:dLbls>
            <c:dLbl>
              <c:idx val="3"/>
              <c:layout>
                <c:manualLayout>
                  <c:x val="-4.8995710872259859E-2"/>
                  <c:y val="-0.10476964572976764"/>
                </c:manualLayout>
              </c:layout>
              <c:dLblPos val="r"/>
              <c:showLegendKey val="0"/>
              <c:showVal val="1"/>
              <c:showCatName val="0"/>
              <c:showSerName val="0"/>
              <c:showPercent val="0"/>
              <c:showBubbleSize val="0"/>
            </c:dLbl>
            <c:dLbl>
              <c:idx val="5"/>
              <c:layout>
                <c:manualLayout>
                  <c:x val="-2.5372838047680889E-2"/>
                  <c:y val="-9.862525248860021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'tablo-2'!$B$6:$B$11</c:f>
              <c:strCache>
                <c:ptCount val="6"/>
                <c:pt idx="0">
                  <c:v>PERSONEL GİDERLERİ</c:v>
                </c:pt>
                <c:pt idx="1">
                  <c:v>SOSYAL GÜV. KUR. DEV. PRİMİ GİD</c:v>
                </c:pt>
                <c:pt idx="2">
                  <c:v>MAL VE HİZMET ALIM GİDERLERİ</c:v>
                </c:pt>
                <c:pt idx="3">
                  <c:v>FAİZ GİDERLERİ</c:v>
                </c:pt>
                <c:pt idx="4">
                  <c:v>CARİ TRANSFERLER</c:v>
                </c:pt>
                <c:pt idx="5">
                  <c:v>SERMAYE GİDERLERİ</c:v>
                </c:pt>
              </c:strCache>
            </c:strRef>
          </c:cat>
          <c:val>
            <c:numRef>
              <c:f>'tablo-2'!$G$6:$G$11</c:f>
              <c:numCache>
                <c:formatCode>%0.00</c:formatCode>
                <c:ptCount val="6"/>
                <c:pt idx="0">
                  <c:v>0.40105902684046718</c:v>
                </c:pt>
                <c:pt idx="1">
                  <c:v>0.42107730215827338</c:v>
                </c:pt>
                <c:pt idx="2">
                  <c:v>0.43726575887399644</c:v>
                </c:pt>
                <c:pt idx="3">
                  <c:v>0</c:v>
                </c:pt>
                <c:pt idx="4">
                  <c:v>0.7473922560879811</c:v>
                </c:pt>
                <c:pt idx="5">
                  <c:v>0.1814845442513523</c:v>
                </c:pt>
              </c:numCache>
            </c:numRef>
          </c:val>
          <c:smooth val="0"/>
        </c:ser>
        <c:ser>
          <c:idx val="7"/>
          <c:order val="1"/>
          <c:tx>
            <c:v>2018</c:v>
          </c:tx>
          <c:spPr>
            <a:ln>
              <a:solidFill>
                <a:schemeClr val="accent2"/>
              </a:solidFill>
            </a:ln>
          </c:spPr>
          <c:marker>
            <c:spPr>
              <a:solidFill>
                <a:schemeClr val="accent2"/>
              </a:solidFill>
              <a:ln>
                <a:solidFill>
                  <a:schemeClr val="accent2"/>
                </a:solidFill>
              </a:ln>
            </c:spPr>
          </c:marker>
          <c:dLbls>
            <c:dLbl>
              <c:idx val="3"/>
              <c:layout>
                <c:manualLayout>
                  <c:x val="-8.057465387834592E-2"/>
                  <c:y val="1.5675943732839846E-2"/>
                </c:manualLayout>
              </c:layout>
              <c:dLblPos val="r"/>
              <c:showLegendKey val="0"/>
              <c:showVal val="1"/>
              <c:showCatName val="0"/>
              <c:showSerName val="0"/>
              <c:showPercent val="0"/>
              <c:showBubbleSize val="0"/>
            </c:dLbl>
            <c:dLbl>
              <c:idx val="5"/>
              <c:layout>
                <c:manualLayout>
                  <c:x val="-5.3443009608646279E-2"/>
                  <c:y val="0.10784184235035137"/>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'tablo-2'!$B$6:$B$11</c:f>
              <c:strCache>
                <c:ptCount val="6"/>
                <c:pt idx="0">
                  <c:v>PERSONEL GİDERLERİ</c:v>
                </c:pt>
                <c:pt idx="1">
                  <c:v>SOSYAL GÜV. KUR. DEV. PRİMİ GİD</c:v>
                </c:pt>
                <c:pt idx="2">
                  <c:v>MAL VE HİZMET ALIM GİDERLERİ</c:v>
                </c:pt>
                <c:pt idx="3">
                  <c:v>FAİZ GİDERLERİ</c:v>
                </c:pt>
                <c:pt idx="4">
                  <c:v>CARİ TRANSFERLER</c:v>
                </c:pt>
                <c:pt idx="5">
                  <c:v>SERMAYE GİDERLERİ</c:v>
                </c:pt>
              </c:strCache>
            </c:strRef>
          </c:cat>
          <c:val>
            <c:numRef>
              <c:f>'tablo-2'!$H$6:$H$11</c:f>
              <c:numCache>
                <c:formatCode>%0.00</c:formatCode>
                <c:ptCount val="6"/>
                <c:pt idx="0">
                  <c:v>0.42400967693319452</c:v>
                </c:pt>
                <c:pt idx="1">
                  <c:v>0.39937430633802817</c:v>
                </c:pt>
                <c:pt idx="2">
                  <c:v>0.45276331169282846</c:v>
                </c:pt>
                <c:pt idx="3">
                  <c:v>0</c:v>
                </c:pt>
                <c:pt idx="4">
                  <c:v>0.44656378745556119</c:v>
                </c:pt>
                <c:pt idx="5">
                  <c:v>0.27865527682712854</c:v>
                </c:pt>
              </c:numCache>
            </c:numRef>
          </c:val>
          <c:smooth val="0"/>
        </c:ser>
        <c:dLbls>
          <c:dLblPos val="t"/>
          <c:showLegendKey val="0"/>
          <c:showVal val="1"/>
          <c:showCatName val="0"/>
          <c:showSerName val="0"/>
          <c:showPercent val="0"/>
          <c:showBubbleSize val="0"/>
        </c:dLbls>
        <c:marker val="1"/>
        <c:smooth val="0"/>
        <c:axId val="173581440"/>
        <c:axId val="173582976"/>
      </c:lineChart>
      <c:catAx>
        <c:axId val="173581440"/>
        <c:scaling>
          <c:orientation val="minMax"/>
        </c:scaling>
        <c:delete val="0"/>
        <c:axPos val="b"/>
        <c:majorTickMark val="none"/>
        <c:minorTickMark val="none"/>
        <c:tickLblPos val="nextTo"/>
        <c:txPr>
          <a:bodyPr rot="-5400000" vert="horz"/>
          <a:lstStyle/>
          <a:p>
            <a:pPr>
              <a:defRPr/>
            </a:pPr>
            <a:endParaRPr lang="tr-TR"/>
          </a:p>
        </c:txPr>
        <c:crossAx val="173582976"/>
        <c:crosses val="autoZero"/>
        <c:auto val="1"/>
        <c:lblAlgn val="ctr"/>
        <c:lblOffset val="100"/>
        <c:noMultiLvlLbl val="0"/>
      </c:catAx>
      <c:valAx>
        <c:axId val="173582976"/>
        <c:scaling>
          <c:orientation val="minMax"/>
        </c:scaling>
        <c:delete val="0"/>
        <c:axPos val="l"/>
        <c:majorGridlines/>
        <c:numFmt formatCode="%0.00" sourceLinked="1"/>
        <c:majorTickMark val="none"/>
        <c:minorTickMark val="none"/>
        <c:tickLblPos val="nextTo"/>
        <c:crossAx val="173581440"/>
        <c:crosses val="autoZero"/>
        <c:crossBetween val="between"/>
      </c:valA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plotArea>
    <c:legend>
      <c:legendPos val="b"/>
      <c:layout/>
      <c:overlay val="0"/>
    </c:legend>
    <c:plotVisOnly val="1"/>
    <c:dispBlanksAs val="zero"/>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b="1" i="0" baseline="0">
                <a:effectLst/>
              </a:rPr>
              <a:t>2017-2018</a:t>
            </a:r>
            <a:r>
              <a:rPr lang="tr-TR" sz="1200" b="0" i="0" baseline="0">
                <a:effectLst/>
              </a:rPr>
              <a:t> </a:t>
            </a:r>
            <a:r>
              <a:rPr lang="tr-TR" sz="1200" b="1" i="0" baseline="0">
                <a:effectLst/>
              </a:rPr>
              <a:t>OCAK-HAZİRAN DÖNEMİ GERÇEKLEŞMELERİ</a:t>
            </a:r>
            <a:endParaRPr lang="tr-TR" sz="1200">
              <a:effectLst/>
            </a:endParaRPr>
          </a:p>
        </c:rich>
      </c:tx>
      <c:layout/>
      <c:overlay val="0"/>
    </c:title>
    <c:autoTitleDeleted val="0"/>
    <c:view3D>
      <c:rotX val="0"/>
      <c:rotY val="0"/>
      <c:depthPercent val="100"/>
      <c:rAngAx val="1"/>
    </c:view3D>
    <c:floor>
      <c:thickness val="0"/>
    </c:floor>
    <c:sideWall>
      <c:thickness val="0"/>
    </c:sideWall>
    <c:backWall>
      <c:thickness val="0"/>
      <c:spPr>
        <a:scene3d>
          <a:camera prst="orthographicFront"/>
          <a:lightRig rig="threePt" dir="t"/>
        </a:scene3d>
        <a:sp3d/>
      </c:spPr>
    </c:backWall>
    <c:plotArea>
      <c:layout/>
      <c:bar3DChart>
        <c:barDir val="col"/>
        <c:grouping val="clustered"/>
        <c:varyColors val="0"/>
        <c:ser>
          <c:idx val="2"/>
          <c:order val="0"/>
          <c:tx>
            <c:v>2017</c:v>
          </c:tx>
          <c:spPr>
            <a:solidFill>
              <a:schemeClr val="accent1"/>
            </a:solidFill>
          </c:spPr>
          <c:invertIfNegative val="0"/>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'tablo-4'!$C$6:$C$11</c:f>
              <c:numCache>
                <c:formatCode>#,##0.00</c:formatCode>
                <c:ptCount val="6"/>
                <c:pt idx="0">
                  <c:v>13014766.48</c:v>
                </c:pt>
                <c:pt idx="1">
                  <c:v>1990011.33</c:v>
                </c:pt>
                <c:pt idx="2">
                  <c:v>39703293.840000004</c:v>
                </c:pt>
                <c:pt idx="3">
                  <c:v>695317.92</c:v>
                </c:pt>
                <c:pt idx="4">
                  <c:v>4757151.71</c:v>
                </c:pt>
                <c:pt idx="5">
                  <c:v>9461515.2300000004</c:v>
                </c:pt>
              </c:numCache>
            </c:numRef>
          </c:val>
        </c:ser>
        <c:ser>
          <c:idx val="3"/>
          <c:order val="1"/>
          <c:tx>
            <c:v>2018</c:v>
          </c:tx>
          <c:spPr>
            <a:solidFill>
              <a:schemeClr val="accent2"/>
            </a:solidFill>
          </c:spPr>
          <c:invertIfNegative val="0"/>
          <c:cat>
            <c:strRef>
              <c:f>'tablo-4'!$B$6:$B$11</c:f>
              <c:strCache>
                <c:ptCount val="6"/>
                <c:pt idx="0">
                  <c:v>PERSONEL GİDERLERİ</c:v>
                </c:pt>
                <c:pt idx="1">
                  <c:v>SOS GÜV. KUR. DEV</c:v>
                </c:pt>
                <c:pt idx="2">
                  <c:v>MAL VE HİZ.AL.GİD.</c:v>
                </c:pt>
                <c:pt idx="3">
                  <c:v>FAİZ GİDERLERİ</c:v>
                </c:pt>
                <c:pt idx="4">
                  <c:v>CARİ TRANSFERLER</c:v>
                </c:pt>
                <c:pt idx="5">
                  <c:v>SERMAYE GİDERLERİ</c:v>
                </c:pt>
              </c:strCache>
            </c:strRef>
          </c:cat>
          <c:val>
            <c:numRef>
              <c:f>'tablo-4'!$D$6:$D$11</c:f>
              <c:numCache>
                <c:formatCode>#,##0.00</c:formatCode>
                <c:ptCount val="6"/>
                <c:pt idx="0">
                  <c:v>15473809.15</c:v>
                </c:pt>
                <c:pt idx="1">
                  <c:v>2268446.06</c:v>
                </c:pt>
                <c:pt idx="2">
                  <c:v>58581686.609999999</c:v>
                </c:pt>
                <c:pt idx="3">
                  <c:v>0</c:v>
                </c:pt>
                <c:pt idx="4">
                  <c:v>3517136.39</c:v>
                </c:pt>
                <c:pt idx="5">
                  <c:v>16040233.699999999</c:v>
                </c:pt>
              </c:numCache>
            </c:numRef>
          </c:val>
        </c:ser>
        <c:dLbls>
          <c:showLegendKey val="0"/>
          <c:showVal val="0"/>
          <c:showCatName val="0"/>
          <c:showSerName val="0"/>
          <c:showPercent val="0"/>
          <c:showBubbleSize val="0"/>
        </c:dLbls>
        <c:gapWidth val="150"/>
        <c:shape val="cylinder"/>
        <c:axId val="173401984"/>
        <c:axId val="173403520"/>
        <c:axId val="0"/>
      </c:bar3DChart>
      <c:catAx>
        <c:axId val="173401984"/>
        <c:scaling>
          <c:orientation val="minMax"/>
        </c:scaling>
        <c:delete val="0"/>
        <c:axPos val="b"/>
        <c:numFmt formatCode="General" sourceLinked="1"/>
        <c:majorTickMark val="none"/>
        <c:minorTickMark val="none"/>
        <c:tickLblPos val="nextTo"/>
        <c:crossAx val="173403520"/>
        <c:crosses val="autoZero"/>
        <c:auto val="1"/>
        <c:lblAlgn val="ctr"/>
        <c:lblOffset val="100"/>
        <c:noMultiLvlLbl val="0"/>
      </c:catAx>
      <c:valAx>
        <c:axId val="173403520"/>
        <c:scaling>
          <c:orientation val="minMax"/>
        </c:scaling>
        <c:delete val="0"/>
        <c:axPos val="l"/>
        <c:majorGridlines/>
        <c:numFmt formatCode="#,##0.00" sourceLinked="1"/>
        <c:majorTickMark val="none"/>
        <c:minorTickMark val="none"/>
        <c:tickLblPos val="nextTo"/>
        <c:crossAx val="173401984"/>
        <c:crosses val="autoZero"/>
        <c:crossBetween val="between"/>
        <c:dispUnits>
          <c:builtInUnit val="millions"/>
          <c:dispUnitsLbl>
            <c:layout/>
          </c:dispUnitsLbl>
        </c:dispUnits>
      </c:valAx>
      <c:dTable>
        <c:showHorzBorder val="1"/>
        <c:showVertBorder val="1"/>
        <c:showOutline val="1"/>
        <c:showKeys val="1"/>
      </c:dTable>
      <c:spPr>
        <a:noFill/>
        <a:ln w="25400">
          <a:noFill/>
        </a:ln>
      </c:spPr>
    </c:plotArea>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PERSONEL GİDERLERİ</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'pers-gid'!$B$1</c:f>
              <c:strCache>
                <c:ptCount val="1"/>
                <c:pt idx="0">
                  <c:v>2017</c:v>
                </c:pt>
              </c:strCache>
            </c:strRef>
          </c:tx>
          <c:invertIfNegative val="0"/>
          <c:cat>
            <c:strRef>
              <c:f>'pers-gid'!$A$2:$A$7</c:f>
              <c:strCache>
                <c:ptCount val="6"/>
                <c:pt idx="0">
                  <c:v>OCAK</c:v>
                </c:pt>
                <c:pt idx="1">
                  <c:v>ŞUBAT</c:v>
                </c:pt>
                <c:pt idx="2">
                  <c:v>MART</c:v>
                </c:pt>
                <c:pt idx="3">
                  <c:v>NİSAN</c:v>
                </c:pt>
                <c:pt idx="4">
                  <c:v>MAYIS</c:v>
                </c:pt>
                <c:pt idx="5">
                  <c:v>HAZİRAN</c:v>
                </c:pt>
              </c:strCache>
            </c:strRef>
          </c:cat>
          <c:val>
            <c:numRef>
              <c:f>'pers-gid'!$B$2:$B$7</c:f>
              <c:numCache>
                <c:formatCode>#,##0.00</c:formatCode>
                <c:ptCount val="6"/>
                <c:pt idx="0">
                  <c:v>2236852.6800000002</c:v>
                </c:pt>
                <c:pt idx="1">
                  <c:v>2380395.7400000002</c:v>
                </c:pt>
                <c:pt idx="2">
                  <c:v>1885366.45</c:v>
                </c:pt>
                <c:pt idx="3">
                  <c:v>2042392.81</c:v>
                </c:pt>
                <c:pt idx="4">
                  <c:v>2239248.89</c:v>
                </c:pt>
                <c:pt idx="5">
                  <c:v>2230509.91</c:v>
                </c:pt>
              </c:numCache>
            </c:numRef>
          </c:val>
        </c:ser>
        <c:ser>
          <c:idx val="1"/>
          <c:order val="1"/>
          <c:tx>
            <c:strRef>
              <c:f>'pers-gid'!$C$1</c:f>
              <c:strCache>
                <c:ptCount val="1"/>
                <c:pt idx="0">
                  <c:v>2018</c:v>
                </c:pt>
              </c:strCache>
            </c:strRef>
          </c:tx>
          <c:invertIfNegative val="0"/>
          <c:cat>
            <c:strRef>
              <c:f>'pers-gid'!$A$2:$A$7</c:f>
              <c:strCache>
                <c:ptCount val="6"/>
                <c:pt idx="0">
                  <c:v>OCAK</c:v>
                </c:pt>
                <c:pt idx="1">
                  <c:v>ŞUBAT</c:v>
                </c:pt>
                <c:pt idx="2">
                  <c:v>MART</c:v>
                </c:pt>
                <c:pt idx="3">
                  <c:v>NİSAN</c:v>
                </c:pt>
                <c:pt idx="4">
                  <c:v>MAYIS</c:v>
                </c:pt>
                <c:pt idx="5">
                  <c:v>HAZİRAN</c:v>
                </c:pt>
              </c:strCache>
            </c:strRef>
          </c:cat>
          <c:val>
            <c:numRef>
              <c:f>'pers-gid'!$C$2:$C$7</c:f>
              <c:numCache>
                <c:formatCode>#,##0.00</c:formatCode>
                <c:ptCount val="6"/>
                <c:pt idx="0">
                  <c:v>2791946.93</c:v>
                </c:pt>
                <c:pt idx="1">
                  <c:v>2475230.4</c:v>
                </c:pt>
                <c:pt idx="2">
                  <c:v>2674351.9700000002</c:v>
                </c:pt>
                <c:pt idx="3">
                  <c:v>2505456.83</c:v>
                </c:pt>
                <c:pt idx="4">
                  <c:v>2490902.4500000002</c:v>
                </c:pt>
                <c:pt idx="5">
                  <c:v>2535920.5699999998</c:v>
                </c:pt>
              </c:numCache>
            </c:numRef>
          </c:val>
        </c:ser>
        <c:dLbls>
          <c:showLegendKey val="0"/>
          <c:showVal val="0"/>
          <c:showCatName val="0"/>
          <c:showSerName val="0"/>
          <c:showPercent val="0"/>
          <c:showBubbleSize val="0"/>
        </c:dLbls>
        <c:gapWidth val="150"/>
        <c:shape val="cylinder"/>
        <c:axId val="173341312"/>
        <c:axId val="173605248"/>
        <c:axId val="0"/>
      </c:bar3DChart>
      <c:catAx>
        <c:axId val="173341312"/>
        <c:scaling>
          <c:orientation val="minMax"/>
        </c:scaling>
        <c:delete val="0"/>
        <c:axPos val="b"/>
        <c:majorTickMark val="none"/>
        <c:minorTickMark val="none"/>
        <c:tickLblPos val="nextTo"/>
        <c:crossAx val="173605248"/>
        <c:crosses val="autoZero"/>
        <c:auto val="1"/>
        <c:lblAlgn val="ctr"/>
        <c:lblOffset val="100"/>
        <c:noMultiLvlLbl val="0"/>
      </c:catAx>
      <c:valAx>
        <c:axId val="173605248"/>
        <c:scaling>
          <c:orientation val="minMax"/>
        </c:scaling>
        <c:delete val="0"/>
        <c:axPos val="l"/>
        <c:majorGridlines/>
        <c:numFmt formatCode="#,##0.00" sourceLinked="1"/>
        <c:majorTickMark val="out"/>
        <c:minorTickMark val="none"/>
        <c:tickLblPos val="nextTo"/>
        <c:crossAx val="173341312"/>
        <c:crosses val="autoZero"/>
        <c:crossBetween val="between"/>
      </c:valAx>
      <c:dTable>
        <c:showHorzBorder val="1"/>
        <c:showVertBorder val="1"/>
        <c:showOutline val="1"/>
        <c:showKeys val="1"/>
      </c:dTable>
    </c:plotArea>
    <c:plotVisOnly val="1"/>
    <c:dispBlanksAs val="gap"/>
    <c:showDLblsOverMax val="0"/>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tileRect/>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PERSONEL GİDERLERİ</a:t>
            </a:r>
          </a:p>
        </c:rich>
      </c:tx>
      <c:overlay val="0"/>
      <c:spPr>
        <a:noFill/>
        <a:ln w="25400">
          <a:noFill/>
        </a:ln>
      </c:spPr>
    </c:title>
    <c:autoTitleDeleted val="0"/>
    <c:plotArea>
      <c:layout/>
      <c:lineChart>
        <c:grouping val="standard"/>
        <c:varyColors val="0"/>
        <c:ser>
          <c:idx val="0"/>
          <c:order val="0"/>
          <c:tx>
            <c:strRef>
              <c:f>'pers-gid'!$E$1</c:f>
              <c:strCache>
                <c:ptCount val="1"/>
                <c:pt idx="0">
                  <c:v>2017</c:v>
                </c:pt>
              </c:strCache>
            </c:strRef>
          </c:tx>
          <c:spPr>
            <a:ln w="38100">
              <a:solidFill>
                <a:schemeClr val="accent1"/>
              </a:solidFill>
              <a:prstDash val="solid"/>
            </a:ln>
          </c:spPr>
          <c:dLbls>
            <c:dLbl>
              <c:idx val="0"/>
              <c:layout>
                <c:manualLayout>
                  <c:x val="-4.2177737812172239E-2"/>
                  <c:y val="-8.5313879882661731E-2"/>
                </c:manualLayout>
              </c:layout>
              <c:dLblPos val="r"/>
              <c:showLegendKey val="0"/>
              <c:showVal val="1"/>
              <c:showCatName val="0"/>
              <c:showSerName val="0"/>
              <c:showPercent val="0"/>
              <c:showBubbleSize val="0"/>
            </c:dLbl>
            <c:dLbl>
              <c:idx val="1"/>
              <c:layout>
                <c:manualLayout>
                  <c:x val="-6.3839207014377994E-2"/>
                  <c:y val="0.13429427203952446"/>
                </c:manualLayout>
              </c:layout>
              <c:dLblPos val="r"/>
              <c:showLegendKey val="0"/>
              <c:showVal val="1"/>
              <c:showCatName val="0"/>
              <c:showSerName val="0"/>
              <c:showPercent val="0"/>
              <c:showBubbleSize val="0"/>
            </c:dLbl>
            <c:dLbl>
              <c:idx val="2"/>
              <c:layout>
                <c:manualLayout>
                  <c:x val="-5.3008411498349998E-2"/>
                  <c:y val="-0.14805866913694612"/>
                </c:manualLayout>
              </c:layout>
              <c:dLblPos val="r"/>
              <c:showLegendKey val="0"/>
              <c:showVal val="1"/>
              <c:showCatName val="0"/>
              <c:showSerName val="0"/>
              <c:showPercent val="0"/>
              <c:showBubbleSize val="0"/>
            </c:dLbl>
            <c:dLbl>
              <c:idx val="3"/>
              <c:layout>
                <c:manualLayout>
                  <c:x val="-4.8366694204273815E-2"/>
                  <c:y val="5.5862899490504901E-2"/>
                </c:manualLayout>
              </c:layout>
              <c:dLblPos val="r"/>
              <c:showLegendKey val="0"/>
              <c:showVal val="1"/>
              <c:showCatName val="0"/>
              <c:showSerName val="0"/>
              <c:showPercent val="0"/>
              <c:showBubbleSize val="0"/>
            </c:dLbl>
            <c:dLbl>
              <c:idx val="4"/>
              <c:layout>
                <c:manualLayout>
                  <c:x val="-5.6102889694400783E-2"/>
                  <c:y val="-5.7862590705573549E-2"/>
                </c:manualLayout>
              </c:layout>
              <c:dLblPos val="r"/>
              <c:showLegendKey val="0"/>
              <c:showVal val="1"/>
              <c:showCatName val="0"/>
              <c:showSerName val="0"/>
              <c:showPercent val="0"/>
              <c:showBubbleSize val="0"/>
            </c:dLbl>
            <c:dLbl>
              <c:idx val="5"/>
              <c:layout>
                <c:manualLayout>
                  <c:x val="-5.6102889694400783E-2"/>
                  <c:y val="8.7235448510112709E-2"/>
                </c:manualLayout>
              </c:layout>
              <c:tx>
                <c:rich>
                  <a:bodyPr/>
                  <a:lstStyle/>
                  <a:p>
                    <a:r>
                      <a:rPr lang="en-US" b="1">
                        <a:solidFill>
                          <a:schemeClr val="accent1"/>
                        </a:solidFill>
                      </a:rPr>
                      <a:t>17%</a:t>
                    </a:r>
                    <a:endParaRPr lang="en-US"/>
                  </a:p>
                </c:rich>
              </c:tx>
              <c:dLblPos val="r"/>
              <c:showLegendKey val="0"/>
              <c:showVal val="1"/>
              <c:showCatName val="0"/>
              <c:showSerName val="1"/>
              <c:showPercent val="0"/>
              <c:showBubbleSize val="0"/>
            </c:dLbl>
            <c:txPr>
              <a:bodyPr/>
              <a:lstStyle/>
              <a:p>
                <a:pPr>
                  <a:defRPr b="1">
                    <a:solidFill>
                      <a:schemeClr val="accent1"/>
                    </a:solidFill>
                  </a:defRPr>
                </a:pPr>
                <a:endParaRPr lang="tr-TR"/>
              </a:p>
            </c:txPr>
            <c:dLblPos val="t"/>
            <c:showLegendKey val="0"/>
            <c:showVal val="1"/>
            <c:showCatName val="0"/>
            <c:showSerName val="0"/>
            <c:showPercent val="0"/>
            <c:showBubbleSize val="0"/>
            <c:showLeaderLines val="0"/>
          </c:dLbls>
          <c:cat>
            <c:strRef>
              <c:f>'pers-gid'!$D$2:$D$7</c:f>
              <c:strCache>
                <c:ptCount val="6"/>
                <c:pt idx="0">
                  <c:v>OCAK</c:v>
                </c:pt>
                <c:pt idx="1">
                  <c:v>ŞUBAT</c:v>
                </c:pt>
                <c:pt idx="2">
                  <c:v>MART</c:v>
                </c:pt>
                <c:pt idx="3">
                  <c:v>NİSAN</c:v>
                </c:pt>
                <c:pt idx="4">
                  <c:v>MAYIS</c:v>
                </c:pt>
                <c:pt idx="5">
                  <c:v>HAZİRAN</c:v>
                </c:pt>
              </c:strCache>
            </c:strRef>
          </c:cat>
          <c:val>
            <c:numRef>
              <c:f>'pers-gid'!$E$2:$E$7</c:f>
              <c:numCache>
                <c:formatCode>0%</c:formatCode>
                <c:ptCount val="6"/>
                <c:pt idx="0">
                  <c:v>0.17187036612892037</c:v>
                </c:pt>
                <c:pt idx="1">
                  <c:v>0.18289961204129113</c:v>
                </c:pt>
                <c:pt idx="2">
                  <c:v>0.1448636403040556</c:v>
                </c:pt>
                <c:pt idx="3">
                  <c:v>0.15692888636446745</c:v>
                </c:pt>
                <c:pt idx="4">
                  <c:v>0.17205448084228708</c:v>
                </c:pt>
                <c:pt idx="5">
                  <c:v>0.1713830143189784</c:v>
                </c:pt>
              </c:numCache>
            </c:numRef>
          </c:val>
          <c:smooth val="0"/>
        </c:ser>
        <c:ser>
          <c:idx val="1"/>
          <c:order val="1"/>
          <c:tx>
            <c:strRef>
              <c:f>'pers-gid'!$F$1</c:f>
              <c:strCache>
                <c:ptCount val="1"/>
                <c:pt idx="0">
                  <c:v>2018</c:v>
                </c:pt>
              </c:strCache>
            </c:strRef>
          </c:tx>
          <c:spPr>
            <a:ln w="38100">
              <a:solidFill>
                <a:schemeClr val="accent2"/>
              </a:solidFill>
              <a:prstDash val="solid"/>
            </a:ln>
          </c:spPr>
          <c:dLbls>
            <c:dLbl>
              <c:idx val="0"/>
              <c:layout>
                <c:manualLayout>
                  <c:x val="-5.0439994595627841E-3"/>
                  <c:y val="-5.9784159333024549E-2"/>
                </c:manualLayout>
              </c:layout>
              <c:dLblPos val="r"/>
              <c:showLegendKey val="0"/>
              <c:showVal val="1"/>
              <c:showCatName val="0"/>
              <c:showSerName val="0"/>
              <c:showPercent val="0"/>
              <c:showBubbleSize val="0"/>
            </c:dLbl>
            <c:dLbl>
              <c:idx val="1"/>
              <c:layout>
                <c:manualLayout>
                  <c:x val="-1.1233077681514599E-2"/>
                  <c:y val="5.0019762235602901E-2"/>
                </c:manualLayout>
              </c:layout>
              <c:dLblPos val="r"/>
              <c:showLegendKey val="0"/>
              <c:showVal val="1"/>
              <c:showCatName val="0"/>
              <c:showSerName val="0"/>
              <c:showPercent val="0"/>
              <c:showBubbleSize val="0"/>
            </c:dLbl>
            <c:dLbl>
              <c:idx val="2"/>
              <c:layout>
                <c:manualLayout>
                  <c:x val="-6.5912385575882353E-3"/>
                  <c:y val="-4.0176316195769647E-2"/>
                </c:manualLayout>
              </c:layout>
              <c:dLblPos val="r"/>
              <c:showLegendKey val="0"/>
              <c:showVal val="1"/>
              <c:showCatName val="0"/>
              <c:showSerName val="0"/>
              <c:showPercent val="0"/>
              <c:showBubbleSize val="0"/>
            </c:dLbl>
            <c:dLbl>
              <c:idx val="3"/>
              <c:layout>
                <c:manualLayout>
                  <c:x val="-9.6857167536389659E-3"/>
                  <c:y val="6.9627605372857809E-2"/>
                </c:manualLayout>
              </c:layout>
              <c:dLblPos val="r"/>
              <c:showLegendKey val="0"/>
              <c:showVal val="1"/>
              <c:showCatName val="0"/>
              <c:showSerName val="0"/>
              <c:showPercent val="0"/>
              <c:showBubbleSize val="0"/>
            </c:dLbl>
            <c:dLbl>
              <c:idx val="4"/>
              <c:layout>
                <c:manualLayout>
                  <c:x val="-1.4327434047715148E-2"/>
                  <c:y val="-0.10292141423498535"/>
                </c:manualLayout>
              </c:layout>
              <c:dLblPos val="r"/>
              <c:showLegendKey val="0"/>
              <c:showVal val="1"/>
              <c:showCatName val="0"/>
              <c:showSerName val="0"/>
              <c:showPercent val="0"/>
              <c:showBubbleSize val="0"/>
            </c:dLbl>
            <c:dLbl>
              <c:idx val="5"/>
              <c:layout>
                <c:manualLayout>
                  <c:x val="-1.8969151341791331E-2"/>
                  <c:y val="6.1784468117955842E-2"/>
                </c:manualLayout>
              </c:layout>
              <c:tx>
                <c:rich>
                  <a:bodyPr/>
                  <a:lstStyle/>
                  <a:p>
                    <a:r>
                      <a:rPr lang="tr-TR" b="1">
                        <a:solidFill>
                          <a:schemeClr val="accent2"/>
                        </a:solidFill>
                      </a:rPr>
                      <a:t>1</a:t>
                    </a:r>
                    <a:r>
                      <a:rPr lang="en-US" b="1">
                        <a:solidFill>
                          <a:schemeClr val="accent2"/>
                        </a:solidFill>
                      </a:rPr>
                      <a:t>6%</a:t>
                    </a:r>
                    <a:endParaRPr lang="en-US"/>
                  </a:p>
                </c:rich>
              </c:tx>
              <c:dLblPos val="r"/>
              <c:showLegendKey val="0"/>
              <c:showVal val="1"/>
              <c:showCatName val="0"/>
              <c:showSerName val="1"/>
              <c:showPercent val="0"/>
              <c:showBubbleSize val="0"/>
            </c:dLbl>
            <c:txPr>
              <a:bodyPr/>
              <a:lstStyle/>
              <a:p>
                <a:pPr>
                  <a:defRPr b="1">
                    <a:solidFill>
                      <a:schemeClr val="accent2"/>
                    </a:solidFill>
                  </a:defRPr>
                </a:pPr>
                <a:endParaRPr lang="tr-TR"/>
              </a:p>
            </c:txPr>
            <c:dLblPos val="b"/>
            <c:showLegendKey val="0"/>
            <c:showVal val="1"/>
            <c:showCatName val="0"/>
            <c:showSerName val="0"/>
            <c:showPercent val="0"/>
            <c:showBubbleSize val="0"/>
            <c:showLeaderLines val="0"/>
          </c:dLbls>
          <c:cat>
            <c:strRef>
              <c:f>'pers-gid'!$D$2:$D$7</c:f>
              <c:strCache>
                <c:ptCount val="6"/>
                <c:pt idx="0">
                  <c:v>OCAK</c:v>
                </c:pt>
                <c:pt idx="1">
                  <c:v>ŞUBAT</c:v>
                </c:pt>
                <c:pt idx="2">
                  <c:v>MART</c:v>
                </c:pt>
                <c:pt idx="3">
                  <c:v>NİSAN</c:v>
                </c:pt>
                <c:pt idx="4">
                  <c:v>MAYIS</c:v>
                </c:pt>
                <c:pt idx="5">
                  <c:v>HAZİRAN</c:v>
                </c:pt>
              </c:strCache>
            </c:strRef>
          </c:cat>
          <c:val>
            <c:numRef>
              <c:f>'pers-gid'!$F$2:$F$7</c:f>
              <c:numCache>
                <c:formatCode>0%</c:formatCode>
                <c:ptCount val="6"/>
                <c:pt idx="0">
                  <c:v>0.18043048760233674</c:v>
                </c:pt>
                <c:pt idx="1">
                  <c:v>0.15996257779875742</c:v>
                </c:pt>
                <c:pt idx="2">
                  <c:v>0.172830874678327</c:v>
                </c:pt>
                <c:pt idx="3">
                  <c:v>0.16191597076793465</c:v>
                </c:pt>
                <c:pt idx="4">
                  <c:v>0.16097538917881768</c:v>
                </c:pt>
                <c:pt idx="5">
                  <c:v>0.16388469997382638</c:v>
                </c:pt>
              </c:numCache>
            </c:numRef>
          </c:val>
          <c:smooth val="0"/>
        </c:ser>
        <c:dLbls>
          <c:showLegendKey val="0"/>
          <c:showVal val="1"/>
          <c:showCatName val="0"/>
          <c:showSerName val="0"/>
          <c:showPercent val="0"/>
          <c:showBubbleSize val="0"/>
        </c:dLbls>
        <c:marker val="1"/>
        <c:smooth val="0"/>
        <c:axId val="173648896"/>
        <c:axId val="173658880"/>
      </c:lineChart>
      <c:catAx>
        <c:axId val="173648896"/>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Arial Tur"/>
                <a:ea typeface="Arial Tur"/>
                <a:cs typeface="Arial Tur"/>
              </a:defRPr>
            </a:pPr>
            <a:endParaRPr lang="tr-TR"/>
          </a:p>
        </c:txPr>
        <c:crossAx val="173658880"/>
        <c:crosses val="autoZero"/>
        <c:auto val="1"/>
        <c:lblAlgn val="ctr"/>
        <c:lblOffset val="100"/>
        <c:tickLblSkip val="1"/>
        <c:tickMarkSkip val="1"/>
        <c:noMultiLvlLbl val="0"/>
      </c:catAx>
      <c:valAx>
        <c:axId val="173658880"/>
        <c:scaling>
          <c:orientation val="minMax"/>
        </c:scaling>
        <c:delete val="0"/>
        <c:axPos val="l"/>
        <c:majorGridlines>
          <c:spPr>
            <a:ln w="3175">
              <a:pattFill prst="pct50">
                <a:fgClr>
                  <a:srgbClr val="000000"/>
                </a:fgClr>
                <a:bgClr>
                  <a:srgbClr val="FFFFFF"/>
                </a:bgClr>
              </a:pattFill>
              <a:prstDash val="solid"/>
            </a:ln>
          </c:spPr>
        </c:majorGridlines>
        <c:numFmt formatCode="0%" sourceLinked="1"/>
        <c:majorTickMark val="none"/>
        <c:minorTickMark val="none"/>
        <c:tickLblPos val="none"/>
        <c:spPr>
          <a:ln w="3175">
            <a:solidFill>
              <a:srgbClr val="000000"/>
            </a:solidFill>
            <a:prstDash val="solid"/>
          </a:ln>
        </c:spPr>
        <c:crossAx val="173648896"/>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overlay val="0"/>
    </c:legend>
    <c:plotVisOnly val="1"/>
    <c:dispBlanksAs val="gap"/>
    <c:showDLblsOverMax val="0"/>
  </c:chart>
  <c:spPr>
    <a:solidFill>
      <a:srgbClr val="99CCFF"/>
    </a:solidFill>
    <a:ln w="3175">
      <a:solidFill>
        <a:srgbClr val="000000"/>
      </a:solidFill>
      <a:prstDash val="solid"/>
    </a:ln>
    <a:effectLst>
      <a:outerShdw dist="35921" dir="2700000" algn="br">
        <a:srgbClr val="000000"/>
      </a:outerShdw>
    </a:effectLst>
  </c:spPr>
  <c:txPr>
    <a:bodyPr/>
    <a:lstStyle/>
    <a:p>
      <a:pPr>
        <a:defRPr sz="1175"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tr-TR"/>
              <a:t>SOSYAL GÜV.KUR.DEVLET PRİMİ GİDERLERİ</a:t>
            </a:r>
          </a:p>
        </c:rich>
      </c:tx>
      <c:overlay val="0"/>
    </c:title>
    <c:autoTitleDeleted val="0"/>
    <c:view3D>
      <c:rotX val="15"/>
      <c:hPercent val="47"/>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sos.güv.!$B$1</c:f>
              <c:strCache>
                <c:ptCount val="1"/>
                <c:pt idx="0">
                  <c:v>2017</c:v>
                </c:pt>
              </c:strCache>
            </c:strRef>
          </c:tx>
          <c:invertIfNegative val="0"/>
          <c:cat>
            <c:strRef>
              <c:f>sos.güv.!$A$2:$A$7</c:f>
              <c:strCache>
                <c:ptCount val="6"/>
                <c:pt idx="0">
                  <c:v>OCAK</c:v>
                </c:pt>
                <c:pt idx="1">
                  <c:v>ŞUBAT</c:v>
                </c:pt>
                <c:pt idx="2">
                  <c:v>MART</c:v>
                </c:pt>
                <c:pt idx="3">
                  <c:v>NİSAN</c:v>
                </c:pt>
                <c:pt idx="4">
                  <c:v>MAYIS</c:v>
                </c:pt>
                <c:pt idx="5">
                  <c:v>HAZİRAN</c:v>
                </c:pt>
              </c:strCache>
            </c:strRef>
          </c:cat>
          <c:val>
            <c:numRef>
              <c:f>sos.güv.!$B$2:$B$7</c:f>
              <c:numCache>
                <c:formatCode>#,##0.00</c:formatCode>
                <c:ptCount val="6"/>
                <c:pt idx="0">
                  <c:v>315233.07</c:v>
                </c:pt>
                <c:pt idx="1">
                  <c:v>385119.22</c:v>
                </c:pt>
                <c:pt idx="2">
                  <c:v>283585.84000000003</c:v>
                </c:pt>
                <c:pt idx="3">
                  <c:v>294109.18</c:v>
                </c:pt>
                <c:pt idx="4">
                  <c:v>380092.87</c:v>
                </c:pt>
                <c:pt idx="5">
                  <c:v>331871.15000000002</c:v>
                </c:pt>
              </c:numCache>
            </c:numRef>
          </c:val>
          <c:shape val="cylinder"/>
        </c:ser>
        <c:ser>
          <c:idx val="1"/>
          <c:order val="1"/>
          <c:tx>
            <c:strRef>
              <c:f>sos.güv.!$C$1</c:f>
              <c:strCache>
                <c:ptCount val="1"/>
                <c:pt idx="0">
                  <c:v>2018</c:v>
                </c:pt>
              </c:strCache>
            </c:strRef>
          </c:tx>
          <c:invertIfNegative val="0"/>
          <c:cat>
            <c:strRef>
              <c:f>sos.güv.!$A$2:$A$7</c:f>
              <c:strCache>
                <c:ptCount val="6"/>
                <c:pt idx="0">
                  <c:v>OCAK</c:v>
                </c:pt>
                <c:pt idx="1">
                  <c:v>ŞUBAT</c:v>
                </c:pt>
                <c:pt idx="2">
                  <c:v>MART</c:v>
                </c:pt>
                <c:pt idx="3">
                  <c:v>NİSAN</c:v>
                </c:pt>
                <c:pt idx="4">
                  <c:v>MAYIS</c:v>
                </c:pt>
                <c:pt idx="5">
                  <c:v>HAZİRAN</c:v>
                </c:pt>
              </c:strCache>
            </c:strRef>
          </c:cat>
          <c:val>
            <c:numRef>
              <c:f>sos.güv.!$C$2:$C$7</c:f>
              <c:numCache>
                <c:formatCode>#,##0.00</c:formatCode>
                <c:ptCount val="6"/>
                <c:pt idx="0">
                  <c:v>370771.53</c:v>
                </c:pt>
                <c:pt idx="1">
                  <c:v>423668.86</c:v>
                </c:pt>
                <c:pt idx="2">
                  <c:v>334474.15999999997</c:v>
                </c:pt>
                <c:pt idx="3">
                  <c:v>341698.49</c:v>
                </c:pt>
                <c:pt idx="4">
                  <c:v>422185.5</c:v>
                </c:pt>
                <c:pt idx="5">
                  <c:v>375647.52</c:v>
                </c:pt>
              </c:numCache>
            </c:numRef>
          </c:val>
          <c:shape val="cylinder"/>
        </c:ser>
        <c:dLbls>
          <c:showLegendKey val="0"/>
          <c:showVal val="0"/>
          <c:showCatName val="0"/>
          <c:showSerName val="0"/>
          <c:showPercent val="0"/>
          <c:showBubbleSize val="0"/>
        </c:dLbls>
        <c:gapWidth val="150"/>
        <c:shape val="box"/>
        <c:axId val="173946752"/>
        <c:axId val="173948288"/>
        <c:axId val="0"/>
      </c:bar3DChart>
      <c:catAx>
        <c:axId val="173946752"/>
        <c:scaling>
          <c:orientation val="minMax"/>
        </c:scaling>
        <c:delete val="0"/>
        <c:axPos val="b"/>
        <c:numFmt formatCode="0.00" sourceLinked="0"/>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73948288"/>
        <c:crosses val="autoZero"/>
        <c:auto val="1"/>
        <c:lblAlgn val="ctr"/>
        <c:lblOffset val="100"/>
        <c:tickLblSkip val="1"/>
        <c:tickMarkSkip val="1"/>
        <c:noMultiLvlLbl val="0"/>
      </c:catAx>
      <c:valAx>
        <c:axId val="173948288"/>
        <c:scaling>
          <c:orientation val="minMax"/>
        </c:scaling>
        <c:delete val="0"/>
        <c:axPos val="l"/>
        <c:majorGridlines/>
        <c:numFmt formatCode="#,##0.00" sourceLinked="1"/>
        <c:majorTickMark val="none"/>
        <c:minorTickMark val="none"/>
        <c:tickLblPos val="nextTo"/>
        <c:crossAx val="173946752"/>
        <c:crosses val="autoZero"/>
        <c:crossBetween val="between"/>
      </c:valAx>
      <c:dTable>
        <c:showHorzBorder val="1"/>
        <c:showVertBorder val="1"/>
        <c:showOutline val="1"/>
        <c:showKeys val="1"/>
      </c:dTable>
      <c:spPr>
        <a:noFill/>
        <a:ln w="25400">
          <a:noFill/>
        </a:ln>
      </c:spPr>
    </c:plotArea>
    <c:plotVisOnly val="1"/>
    <c:dispBlanksAs val="gap"/>
    <c:showDLblsOverMax val="0"/>
  </c:chart>
  <c:spPr>
    <a:gradFill>
      <a:gsLst>
        <a:gs pos="0">
          <a:srgbClr val="99CCFF"/>
        </a:gs>
        <a:gs pos="50000">
          <a:srgbClr val="FFFFFF"/>
        </a:gs>
        <a:gs pos="100000">
          <a:srgbClr val="99CCFF"/>
        </a:gs>
      </a:gsLst>
      <a:lin ang="5400000" scaled="1"/>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Tur"/>
                <a:ea typeface="Arial Tur"/>
                <a:cs typeface="Arial Tur"/>
              </a:defRPr>
            </a:pPr>
            <a:r>
              <a:rPr lang="tr-TR"/>
              <a:t>SOSYAL GÜV.KUR.DEVLET PRİMİ GİDERLERİ</a:t>
            </a:r>
          </a:p>
        </c:rich>
      </c:tx>
      <c:layout>
        <c:manualLayout>
          <c:xMode val="edge"/>
          <c:yMode val="edge"/>
          <c:x val="0.22796368539039003"/>
          <c:y val="3.8194444444444448E-2"/>
        </c:manualLayout>
      </c:layout>
      <c:overlay val="0"/>
      <c:spPr>
        <a:noFill/>
        <a:ln w="25400">
          <a:noFill/>
        </a:ln>
      </c:spPr>
    </c:title>
    <c:autoTitleDeleted val="0"/>
    <c:plotArea>
      <c:layout>
        <c:manualLayout>
          <c:layoutTarget val="inner"/>
          <c:xMode val="edge"/>
          <c:yMode val="edge"/>
          <c:x val="8.0547172233547029E-2"/>
          <c:y val="0.22916744373726311"/>
          <c:w val="0.89817695830238287"/>
          <c:h val="0.51736286540685161"/>
        </c:manualLayout>
      </c:layout>
      <c:lineChart>
        <c:grouping val="standard"/>
        <c:varyColors val="0"/>
        <c:ser>
          <c:idx val="0"/>
          <c:order val="0"/>
          <c:tx>
            <c:strRef>
              <c:f>sos.güv.!$E$1</c:f>
              <c:strCache>
                <c:ptCount val="1"/>
                <c:pt idx="0">
                  <c:v>2017</c:v>
                </c:pt>
              </c:strCache>
            </c:strRef>
          </c:tx>
          <c:spPr>
            <a:ln w="38100">
              <a:solidFill>
                <a:schemeClr val="accent1"/>
              </a:solidFill>
              <a:prstDash val="solid"/>
            </a:ln>
          </c:spPr>
          <c:marker>
            <c:spPr>
              <a:ln>
                <a:solidFill>
                  <a:schemeClr val="accent1"/>
                </a:solidFill>
              </a:ln>
            </c:spPr>
          </c:marker>
          <c:dLbls>
            <c:dLbl>
              <c:idx val="0"/>
              <c:layout>
                <c:manualLayout>
                  <c:x val="-3.7360649067802697E-2"/>
                  <c:y val="-7.7504374453193345E-2"/>
                </c:manualLayout>
              </c:layout>
              <c:dLblPos val="r"/>
              <c:showLegendKey val="0"/>
              <c:showVal val="1"/>
              <c:showCatName val="0"/>
              <c:showSerName val="0"/>
              <c:showPercent val="0"/>
              <c:showBubbleSize val="0"/>
            </c:dLbl>
            <c:dLbl>
              <c:idx val="1"/>
              <c:layout>
                <c:manualLayout>
                  <c:x val="-1.2284741003119291E-2"/>
                  <c:y val="-5.5399533391659379E-2"/>
                </c:manualLayout>
              </c:layout>
              <c:dLblPos val="r"/>
              <c:showLegendKey val="0"/>
              <c:showVal val="1"/>
              <c:showCatName val="0"/>
              <c:showSerName val="0"/>
              <c:showPercent val="0"/>
              <c:showBubbleSize val="0"/>
            </c:dLbl>
            <c:dLbl>
              <c:idx val="2"/>
              <c:layout>
                <c:manualLayout>
                  <c:x val="-2.2289766970618033E-2"/>
                  <c:y val="-8.7962962962962965E-2"/>
                </c:manualLayout>
              </c:layout>
              <c:dLblPos val="r"/>
              <c:showLegendKey val="0"/>
              <c:showVal val="1"/>
              <c:showCatName val="0"/>
              <c:showSerName val="0"/>
              <c:showPercent val="0"/>
              <c:showBubbleSize val="0"/>
            </c:dLbl>
            <c:dLbl>
              <c:idx val="3"/>
              <c:layout>
                <c:manualLayout>
                  <c:x val="-1.2284581448595521E-2"/>
                  <c:y val="3.615193934091572E-2"/>
                </c:manualLayout>
              </c:layout>
              <c:dLblPos val="r"/>
              <c:showLegendKey val="0"/>
              <c:showVal val="1"/>
              <c:showCatName val="0"/>
              <c:showSerName val="0"/>
              <c:showPercent val="0"/>
              <c:showBubbleSize val="0"/>
            </c:dLbl>
            <c:dLbl>
              <c:idx val="4"/>
              <c:layout>
                <c:manualLayout>
                  <c:x val="-2.7735362866875682E-2"/>
                  <c:y val="8.934711286089235E-2"/>
                </c:manualLayout>
              </c:layout>
              <c:dLblPos val="r"/>
              <c:showLegendKey val="0"/>
              <c:showVal val="1"/>
              <c:showCatName val="0"/>
              <c:showSerName val="0"/>
              <c:showPercent val="0"/>
              <c:showBubbleSize val="0"/>
            </c:dLbl>
            <c:dLbl>
              <c:idx val="5"/>
              <c:layout>
                <c:manualLayout>
                  <c:x val="-3.8500506585612972E-2"/>
                  <c:y val="7.407407407407407E-2"/>
                </c:manualLayout>
              </c:layout>
              <c:dLblPos val="r"/>
              <c:showLegendKey val="0"/>
              <c:showVal val="1"/>
              <c:showCatName val="0"/>
              <c:showSerName val="0"/>
              <c:showPercent val="0"/>
              <c:showBubbleSize val="0"/>
            </c:dLbl>
            <c:spPr>
              <a:noFill/>
              <a:ln w="25400">
                <a:noFill/>
              </a:ln>
            </c:spPr>
            <c:txPr>
              <a:bodyPr/>
              <a:lstStyle/>
              <a:p>
                <a:pPr>
                  <a:defRPr sz="1000" b="1" i="0" u="none" strike="noStrike" baseline="0">
                    <a:solidFill>
                      <a:schemeClr val="accent1"/>
                    </a:solidFill>
                    <a:latin typeface="Arial Tur"/>
                    <a:ea typeface="Arial Tur"/>
                    <a:cs typeface="Arial Tur"/>
                  </a:defRPr>
                </a:pPr>
                <a:endParaRPr lang="tr-TR"/>
              </a:p>
            </c:txPr>
            <c:showLegendKey val="0"/>
            <c:showVal val="1"/>
            <c:showCatName val="0"/>
            <c:showSerName val="0"/>
            <c:showPercent val="0"/>
            <c:showBubbleSize val="0"/>
            <c:showLeaderLines val="0"/>
          </c:dLbls>
          <c:cat>
            <c:strRef>
              <c:f>sos.güv.!$D$2:$D$7</c:f>
              <c:strCache>
                <c:ptCount val="6"/>
                <c:pt idx="0">
                  <c:v>OCAK</c:v>
                </c:pt>
                <c:pt idx="1">
                  <c:v>ŞUBAT</c:v>
                </c:pt>
                <c:pt idx="2">
                  <c:v>MART</c:v>
                </c:pt>
                <c:pt idx="3">
                  <c:v>NİSAN</c:v>
                </c:pt>
                <c:pt idx="4">
                  <c:v>MAYIS</c:v>
                </c:pt>
                <c:pt idx="5">
                  <c:v>HAZİRAN</c:v>
                </c:pt>
              </c:strCache>
            </c:strRef>
          </c:cat>
          <c:val>
            <c:numRef>
              <c:f>sos.güv.!$E$2:$E$7</c:f>
              <c:numCache>
                <c:formatCode>0%</c:formatCode>
                <c:ptCount val="6"/>
                <c:pt idx="0">
                  <c:v>0.15840767600051806</c:v>
                </c:pt>
                <c:pt idx="1">
                  <c:v>0.19352614439637383</c:v>
                </c:pt>
                <c:pt idx="2">
                  <c:v>0.14250463589069115</c:v>
                </c:pt>
                <c:pt idx="3">
                  <c:v>0.14779271633594165</c:v>
                </c:pt>
                <c:pt idx="4">
                  <c:v>0.19100035475677415</c:v>
                </c:pt>
                <c:pt idx="5">
                  <c:v>0.16676847261970112</c:v>
                </c:pt>
              </c:numCache>
            </c:numRef>
          </c:val>
          <c:smooth val="0"/>
        </c:ser>
        <c:ser>
          <c:idx val="1"/>
          <c:order val="1"/>
          <c:tx>
            <c:strRef>
              <c:f>sos.güv.!$F$1</c:f>
              <c:strCache>
                <c:ptCount val="1"/>
                <c:pt idx="0">
                  <c:v>2018</c:v>
                </c:pt>
              </c:strCache>
            </c:strRef>
          </c:tx>
          <c:spPr>
            <a:ln w="38100">
              <a:solidFill>
                <a:schemeClr val="accent2"/>
              </a:solidFill>
              <a:prstDash val="solid"/>
            </a:ln>
          </c:spPr>
          <c:marker>
            <c:spPr>
              <a:ln>
                <a:solidFill>
                  <a:schemeClr val="accent2"/>
                </a:solidFill>
              </a:ln>
            </c:spPr>
          </c:marker>
          <c:dLbls>
            <c:dLbl>
              <c:idx val="0"/>
              <c:layout>
                <c:manualLayout>
                  <c:x val="-1.9123567000933393E-2"/>
                  <c:y val="4.8681831437736953E-2"/>
                </c:manualLayout>
              </c:layout>
              <c:dLblPos val="r"/>
              <c:showLegendKey val="0"/>
              <c:showVal val="1"/>
              <c:showCatName val="0"/>
              <c:showSerName val="0"/>
              <c:showPercent val="0"/>
              <c:showBubbleSize val="0"/>
            </c:dLbl>
            <c:dLbl>
              <c:idx val="1"/>
              <c:layout>
                <c:manualLayout>
                  <c:x val="-3.0521823069988591E-2"/>
                  <c:y val="8.8748541848935505E-2"/>
                </c:manualLayout>
              </c:layout>
              <c:dLblPos val="r"/>
              <c:showLegendKey val="0"/>
              <c:showVal val="1"/>
              <c:showCatName val="0"/>
              <c:showSerName val="0"/>
              <c:showPercent val="0"/>
              <c:showBubbleSize val="0"/>
            </c:dLbl>
            <c:dLbl>
              <c:idx val="2"/>
              <c:layout>
                <c:manualLayout>
                  <c:x val="-1.8616981387964804E-2"/>
                  <c:y val="4.1981262758821816E-2"/>
                </c:manualLayout>
              </c:layout>
              <c:dLblPos val="r"/>
              <c:showLegendKey val="0"/>
              <c:showVal val="1"/>
              <c:showCatName val="0"/>
              <c:showSerName val="0"/>
              <c:showPercent val="0"/>
              <c:showBubbleSize val="0"/>
            </c:dLbl>
            <c:dLbl>
              <c:idx val="3"/>
              <c:layout>
                <c:manualLayout>
                  <c:x val="-1.8363608804218622E-2"/>
                  <c:y val="-0.10271799358413532"/>
                </c:manualLayout>
              </c:layout>
              <c:dLblPos val="r"/>
              <c:showLegendKey val="0"/>
              <c:showVal val="1"/>
              <c:showCatName val="0"/>
              <c:showSerName val="0"/>
              <c:showPercent val="0"/>
              <c:showBubbleSize val="0"/>
            </c:dLbl>
            <c:dLbl>
              <c:idx val="4"/>
              <c:layout>
                <c:manualLayout>
                  <c:x val="-1.4564136929692299E-2"/>
                  <c:y val="-4.658318751822689E-2"/>
                </c:manualLayout>
              </c:layout>
              <c:dLblPos val="r"/>
              <c:showLegendKey val="0"/>
              <c:showVal val="1"/>
              <c:showCatName val="0"/>
              <c:showSerName val="0"/>
              <c:showPercent val="0"/>
              <c:showBubbleSize val="0"/>
            </c:dLbl>
            <c:spPr>
              <a:noFill/>
              <a:ln w="25400">
                <a:noFill/>
              </a:ln>
            </c:spPr>
            <c:txPr>
              <a:bodyPr/>
              <a:lstStyle/>
              <a:p>
                <a:pPr>
                  <a:defRPr sz="1000" b="1" i="0" u="none" strike="noStrike" baseline="0">
                    <a:solidFill>
                      <a:schemeClr val="accent2"/>
                    </a:solidFill>
                    <a:latin typeface="Arial Tur"/>
                    <a:ea typeface="Arial Tur"/>
                    <a:cs typeface="Arial Tur"/>
                  </a:defRPr>
                </a:pPr>
                <a:endParaRPr lang="tr-TR"/>
              </a:p>
            </c:txPr>
            <c:showLegendKey val="0"/>
            <c:showVal val="1"/>
            <c:showCatName val="0"/>
            <c:showSerName val="0"/>
            <c:showPercent val="0"/>
            <c:showBubbleSize val="0"/>
            <c:showLeaderLines val="0"/>
          </c:dLbls>
          <c:cat>
            <c:strRef>
              <c:f>sos.güv.!$D$2:$D$7</c:f>
              <c:strCache>
                <c:ptCount val="6"/>
                <c:pt idx="0">
                  <c:v>OCAK</c:v>
                </c:pt>
                <c:pt idx="1">
                  <c:v>ŞUBAT</c:v>
                </c:pt>
                <c:pt idx="2">
                  <c:v>MART</c:v>
                </c:pt>
                <c:pt idx="3">
                  <c:v>NİSAN</c:v>
                </c:pt>
                <c:pt idx="4">
                  <c:v>MAYIS</c:v>
                </c:pt>
                <c:pt idx="5">
                  <c:v>HAZİRAN</c:v>
                </c:pt>
              </c:strCache>
            </c:strRef>
          </c:cat>
          <c:val>
            <c:numRef>
              <c:f>sos.güv.!$F$2:$F$7</c:f>
              <c:numCache>
                <c:formatCode>0%</c:formatCode>
                <c:ptCount val="6"/>
                <c:pt idx="0">
                  <c:v>0.16344736449232564</c:v>
                </c:pt>
                <c:pt idx="1">
                  <c:v>0.18676611600806589</c:v>
                </c:pt>
                <c:pt idx="2">
                  <c:v>0.14744638010039346</c:v>
                </c:pt>
                <c:pt idx="3">
                  <c:v>0.15063108443495454</c:v>
                </c:pt>
                <c:pt idx="4">
                  <c:v>0.1861122058154647</c:v>
                </c:pt>
                <c:pt idx="5">
                  <c:v>0.16559684914879572</c:v>
                </c:pt>
              </c:numCache>
            </c:numRef>
          </c:val>
          <c:smooth val="0"/>
        </c:ser>
        <c:dLbls>
          <c:showLegendKey val="0"/>
          <c:showVal val="0"/>
          <c:showCatName val="0"/>
          <c:showSerName val="0"/>
          <c:showPercent val="0"/>
          <c:showBubbleSize val="0"/>
        </c:dLbls>
        <c:marker val="1"/>
        <c:smooth val="0"/>
        <c:axId val="173984000"/>
        <c:axId val="174022656"/>
      </c:lineChart>
      <c:catAx>
        <c:axId val="1739840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74022656"/>
        <c:crosses val="autoZero"/>
        <c:auto val="1"/>
        <c:lblAlgn val="ctr"/>
        <c:lblOffset val="100"/>
        <c:tickLblSkip val="1"/>
        <c:tickMarkSkip val="1"/>
        <c:noMultiLvlLbl val="0"/>
      </c:catAx>
      <c:valAx>
        <c:axId val="174022656"/>
        <c:scaling>
          <c:orientation val="minMax"/>
        </c:scaling>
        <c:delete val="0"/>
        <c:axPos val="l"/>
        <c:majorGridlines>
          <c:spPr>
            <a:ln w="3175">
              <a:solidFill>
                <a:srgbClr val="000000"/>
              </a:solidFill>
              <a:prstDash val="sysDash"/>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Tur"/>
                <a:ea typeface="Arial Tur"/>
                <a:cs typeface="Arial Tur"/>
              </a:defRPr>
            </a:pPr>
            <a:endParaRPr lang="tr-TR"/>
          </a:p>
        </c:txPr>
        <c:crossAx val="173984000"/>
        <c:crosses val="autoZero"/>
        <c:crossBetween val="between"/>
      </c:valAx>
      <c:spPr>
        <a:gradFill rotWithShape="0">
          <a:gsLst>
            <a:gs pos="0">
              <a:srgbClr val="99CCFF"/>
            </a:gs>
            <a:gs pos="50000">
              <a:srgbClr val="FFFFFF"/>
            </a:gs>
            <a:gs pos="100000">
              <a:srgbClr val="99CCFF"/>
            </a:gs>
          </a:gsLst>
          <a:lin ang="5400000" scaled="1"/>
        </a:gradFill>
        <a:ln w="12700">
          <a:solidFill>
            <a:srgbClr val="808080"/>
          </a:solidFill>
          <a:prstDash val="solid"/>
        </a:ln>
      </c:spPr>
    </c:plotArea>
    <c:legend>
      <c:legendPos val="b"/>
      <c:layout>
        <c:manualLayout>
          <c:xMode val="edge"/>
          <c:yMode val="edge"/>
          <c:x val="0.42705199084157031"/>
          <c:y val="0.89236402741324006"/>
          <c:w val="0.224875348028305"/>
          <c:h val="7.899642752989211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Tur"/>
              <a:ea typeface="Arial Tur"/>
              <a:cs typeface="Arial Tur"/>
            </a:defRPr>
          </a:pPr>
          <a:endParaRPr lang="tr-TR"/>
        </a:p>
      </c:txPr>
    </c:legend>
    <c:plotVisOnly val="1"/>
    <c:dispBlanksAs val="gap"/>
    <c:showDLblsOverMax val="0"/>
  </c:chart>
  <c:spPr>
    <a:gradFill rotWithShape="0">
      <a:gsLst>
        <a:gs pos="0">
          <a:srgbClr val="99CCFF"/>
        </a:gs>
        <a:gs pos="50000">
          <a:srgbClr val="FFFFFF"/>
        </a:gs>
        <a:gs pos="100000">
          <a:srgbClr val="99CCFF"/>
        </a:gs>
      </a:gsLst>
      <a:lin ang="5400000" scaled="1"/>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Tur"/>
          <a:ea typeface="Arial Tur"/>
          <a:cs typeface="Arial Tur"/>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tr-TR"/>
              <a:t>MAL VE HİZMET ALIM GİDERLERİ</a:t>
            </a:r>
          </a:p>
        </c:rich>
      </c:tx>
      <c:overlay val="0"/>
    </c:title>
    <c:autoTitleDeleted val="0"/>
    <c:view3D>
      <c:rotX val="0"/>
      <c:hPercent val="47"/>
      <c:rotY val="0"/>
      <c:depthPercent val="100"/>
      <c:rAngAx val="1"/>
    </c:view3D>
    <c:floor>
      <c:thickness val="0"/>
    </c:floor>
    <c:sideWall>
      <c:thickness val="0"/>
    </c:sideWall>
    <c:backWall>
      <c:thickness val="0"/>
      <c:spPr>
        <a:scene3d>
          <a:camera prst="orthographicFront"/>
          <a:lightRig rig="threePt" dir="t"/>
        </a:scene3d>
        <a:sp3d/>
      </c:spPr>
    </c:backWall>
    <c:plotArea>
      <c:layout/>
      <c:bar3DChart>
        <c:barDir val="col"/>
        <c:grouping val="clustered"/>
        <c:varyColors val="0"/>
        <c:ser>
          <c:idx val="0"/>
          <c:order val="0"/>
          <c:tx>
            <c:strRef>
              <c:f>mal_hizm!$B$1</c:f>
              <c:strCache>
                <c:ptCount val="1"/>
                <c:pt idx="0">
                  <c:v>2017</c:v>
                </c:pt>
              </c:strCache>
            </c:strRef>
          </c:tx>
          <c:invertIfNegative val="0"/>
          <c:cat>
            <c:strRef>
              <c:f>mal_hizm!$A$2:$A$7</c:f>
              <c:strCache>
                <c:ptCount val="6"/>
                <c:pt idx="0">
                  <c:v>OCAK</c:v>
                </c:pt>
                <c:pt idx="1">
                  <c:v>ŞUBAT</c:v>
                </c:pt>
                <c:pt idx="2">
                  <c:v>MART</c:v>
                </c:pt>
                <c:pt idx="3">
                  <c:v>NİSAN</c:v>
                </c:pt>
                <c:pt idx="4">
                  <c:v>MAYIS</c:v>
                </c:pt>
                <c:pt idx="5">
                  <c:v>HAZİRAN</c:v>
                </c:pt>
              </c:strCache>
            </c:strRef>
          </c:cat>
          <c:val>
            <c:numRef>
              <c:f>mal_hizm!$B$2:$B$7</c:f>
              <c:numCache>
                <c:formatCode>#,##0.00</c:formatCode>
                <c:ptCount val="6"/>
                <c:pt idx="0">
                  <c:v>1021090.85</c:v>
                </c:pt>
                <c:pt idx="1">
                  <c:v>2800190.21</c:v>
                </c:pt>
                <c:pt idx="2">
                  <c:v>10296584.4</c:v>
                </c:pt>
                <c:pt idx="3">
                  <c:v>5979557</c:v>
                </c:pt>
                <c:pt idx="4">
                  <c:v>9304289.6999999993</c:v>
                </c:pt>
                <c:pt idx="5">
                  <c:v>10301581.6</c:v>
                </c:pt>
              </c:numCache>
            </c:numRef>
          </c:val>
          <c:shape val="cylinder"/>
        </c:ser>
        <c:ser>
          <c:idx val="1"/>
          <c:order val="1"/>
          <c:tx>
            <c:strRef>
              <c:f>mal_hizm!$C$1</c:f>
              <c:strCache>
                <c:ptCount val="1"/>
                <c:pt idx="0">
                  <c:v>2018</c:v>
                </c:pt>
              </c:strCache>
            </c:strRef>
          </c:tx>
          <c:invertIfNegative val="0"/>
          <c:dPt>
            <c:idx val="5"/>
            <c:invertIfNegative val="0"/>
            <c:bubble3D val="0"/>
          </c:dPt>
          <c:cat>
            <c:strRef>
              <c:f>mal_hizm!$A$2:$A$7</c:f>
              <c:strCache>
                <c:ptCount val="6"/>
                <c:pt idx="0">
                  <c:v>OCAK</c:v>
                </c:pt>
                <c:pt idx="1">
                  <c:v>ŞUBAT</c:v>
                </c:pt>
                <c:pt idx="2">
                  <c:v>MART</c:v>
                </c:pt>
                <c:pt idx="3">
                  <c:v>NİSAN</c:v>
                </c:pt>
                <c:pt idx="4">
                  <c:v>MAYIS</c:v>
                </c:pt>
                <c:pt idx="5">
                  <c:v>HAZİRAN</c:v>
                </c:pt>
              </c:strCache>
            </c:strRef>
          </c:cat>
          <c:val>
            <c:numRef>
              <c:f>mal_hizm!$C$2:$C$7</c:f>
              <c:numCache>
                <c:formatCode>#,##0.00</c:formatCode>
                <c:ptCount val="6"/>
                <c:pt idx="0">
                  <c:v>4800799.71</c:v>
                </c:pt>
                <c:pt idx="1">
                  <c:v>10115004.82</c:v>
                </c:pt>
                <c:pt idx="2">
                  <c:v>9451452.9000000004</c:v>
                </c:pt>
                <c:pt idx="3">
                  <c:v>7020521.9699999997</c:v>
                </c:pt>
                <c:pt idx="4">
                  <c:v>12534698.23</c:v>
                </c:pt>
                <c:pt idx="5">
                  <c:v>14659208.98</c:v>
                </c:pt>
              </c:numCache>
            </c:numRef>
          </c:val>
          <c:shape val="cylinder"/>
        </c:ser>
        <c:dLbls>
          <c:showLegendKey val="0"/>
          <c:showVal val="0"/>
          <c:showCatName val="0"/>
          <c:showSerName val="0"/>
          <c:showPercent val="0"/>
          <c:showBubbleSize val="0"/>
        </c:dLbls>
        <c:gapWidth val="150"/>
        <c:shape val="box"/>
        <c:axId val="174040192"/>
        <c:axId val="174041728"/>
        <c:axId val="0"/>
      </c:bar3DChart>
      <c:catAx>
        <c:axId val="174040192"/>
        <c:scaling>
          <c:orientation val="minMax"/>
        </c:scaling>
        <c:delete val="0"/>
        <c:axPos val="b"/>
        <c:numFmt formatCode="0.00" sourceLinked="0"/>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tr-TR"/>
          </a:p>
        </c:txPr>
        <c:crossAx val="174041728"/>
        <c:crosses val="autoZero"/>
        <c:auto val="1"/>
        <c:lblAlgn val="ctr"/>
        <c:lblOffset val="100"/>
        <c:tickLblSkip val="1"/>
        <c:tickMarkSkip val="1"/>
        <c:noMultiLvlLbl val="0"/>
      </c:catAx>
      <c:valAx>
        <c:axId val="174041728"/>
        <c:scaling>
          <c:orientation val="minMax"/>
        </c:scaling>
        <c:delete val="0"/>
        <c:axPos val="l"/>
        <c:majorGridlines/>
        <c:numFmt formatCode="#,##0.00" sourceLinked="1"/>
        <c:majorTickMark val="none"/>
        <c:minorTickMark val="none"/>
        <c:tickLblPos val="nextTo"/>
        <c:crossAx val="174040192"/>
        <c:crosses val="autoZero"/>
        <c:crossBetween val="between"/>
        <c:dispUnits>
          <c:builtInUnit val="millions"/>
          <c:dispUnitsLbl/>
        </c:dispUnits>
      </c:valAx>
      <c:dTable>
        <c:showHorzBorder val="1"/>
        <c:showVertBorder val="1"/>
        <c:showOutline val="1"/>
        <c:showKeys val="1"/>
      </c:dTable>
      <c:spPr>
        <a:noFill/>
        <a:ln w="25400">
          <a:noFill/>
        </a:ln>
      </c:spPr>
    </c:plotArea>
    <c:plotVisOnly val="1"/>
    <c:dispBlanksAs val="gap"/>
    <c:showDLblsOverMax val="0"/>
  </c:chart>
  <c:spPr>
    <a:gradFill flip="none" rotWithShape="1">
      <a:gsLst>
        <a:gs pos="0">
          <a:srgbClr val="FFFFFF"/>
        </a:gs>
        <a:gs pos="50000">
          <a:srgbClr val="99CCFF"/>
        </a:gs>
        <a:gs pos="100000">
          <a:srgbClr val="FFFFFF"/>
        </a:gs>
      </a:gsLst>
      <a:lin ang="13500000" scaled="1"/>
      <a:tileRect/>
    </a:gradFill>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1C46-41BA-4BC8-B8B9-FF1A3208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18</Pages>
  <Words>3457</Words>
  <Characters>19706</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sultanbeyli.bel.tr</Company>
  <LinksUpToDate>false</LinksUpToDate>
  <CharactersWithSpaces>23117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Abdulkerim Güngör</dc:creator>
  <cp:lastModifiedBy>Abdurrahman ÇİLENK</cp:lastModifiedBy>
  <cp:revision>18</cp:revision>
  <cp:lastPrinted>2018-07-17T08:49:00Z</cp:lastPrinted>
  <dcterms:created xsi:type="dcterms:W3CDTF">2018-07-25T11:15:00Z</dcterms:created>
  <dcterms:modified xsi:type="dcterms:W3CDTF">2018-08-01T08:28:00Z</dcterms:modified>
</cp:coreProperties>
</file>